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6C3" w:rsidRPr="00615904" w:rsidRDefault="002F76C3" w:rsidP="003F3640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val="en-US" w:eastAsia="uk-UA"/>
        </w:rPr>
      </w:pPr>
      <w:r w:rsidRPr="00615904">
        <w:rPr>
          <w:b/>
          <w:bCs/>
          <w:sz w:val="28"/>
          <w:szCs w:val="28"/>
          <w:lang w:val="en-US" w:eastAsia="uk-UA"/>
        </w:rPr>
        <w:t>Statistical and analytical review of labo</w:t>
      </w:r>
      <w:r w:rsidR="00D44329" w:rsidRPr="00615904">
        <w:rPr>
          <w:b/>
          <w:bCs/>
          <w:sz w:val="28"/>
          <w:szCs w:val="28"/>
          <w:lang w:val="en-US" w:eastAsia="uk-UA"/>
        </w:rPr>
        <w:t>u</w:t>
      </w:r>
      <w:r w:rsidRPr="00615904">
        <w:rPr>
          <w:b/>
          <w:bCs/>
          <w:sz w:val="28"/>
          <w:szCs w:val="28"/>
          <w:lang w:val="en-US" w:eastAsia="uk-UA"/>
        </w:rPr>
        <w:t>r market in 201</w:t>
      </w:r>
      <w:r w:rsidR="00C26179">
        <w:rPr>
          <w:b/>
          <w:bCs/>
          <w:sz w:val="28"/>
          <w:szCs w:val="28"/>
          <w:lang w:val="en-US" w:eastAsia="uk-UA"/>
        </w:rPr>
        <w:t>8</w:t>
      </w:r>
    </w:p>
    <w:p w:rsidR="002F76C3" w:rsidRPr="00615904" w:rsidRDefault="002F76C3" w:rsidP="003F3640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val="en-US" w:eastAsia="uk-UA"/>
        </w:rPr>
      </w:pPr>
    </w:p>
    <w:p w:rsidR="00B51FD7" w:rsidRPr="00615904" w:rsidRDefault="00B51FD7" w:rsidP="003F3640">
      <w:pPr>
        <w:autoSpaceDE w:val="0"/>
        <w:autoSpaceDN w:val="0"/>
        <w:adjustRightInd w:val="0"/>
        <w:ind w:firstLine="567"/>
        <w:jc w:val="both"/>
        <w:rPr>
          <w:lang w:val="en-US" w:eastAsia="uk-UA"/>
        </w:rPr>
      </w:pPr>
      <w:r w:rsidRPr="00615904">
        <w:rPr>
          <w:lang w:val="en-US" w:eastAsia="uk-UA"/>
        </w:rPr>
        <w:t xml:space="preserve">According to data from </w:t>
      </w:r>
      <w:r w:rsidR="00151407" w:rsidRPr="00615904">
        <w:rPr>
          <w:lang w:val="en-US" w:eastAsia="uk-UA"/>
        </w:rPr>
        <w:t xml:space="preserve">the </w:t>
      </w:r>
      <w:r w:rsidR="00C70DAE" w:rsidRPr="00615904">
        <w:rPr>
          <w:lang w:val="en-US" w:eastAsia="uk-UA"/>
        </w:rPr>
        <w:t xml:space="preserve">population (households) </w:t>
      </w:r>
      <w:r w:rsidRPr="00615904">
        <w:rPr>
          <w:lang w:val="en-US" w:eastAsia="uk-UA"/>
        </w:rPr>
        <w:t xml:space="preserve">sample survey on issues of economic activity, the average monthly </w:t>
      </w:r>
      <w:r w:rsidRPr="00615904">
        <w:rPr>
          <w:b/>
          <w:bCs/>
          <w:lang w:val="en-US" w:eastAsia="uk-UA"/>
        </w:rPr>
        <w:t xml:space="preserve">number of economically active population </w:t>
      </w:r>
      <w:r w:rsidRPr="00615904">
        <w:rPr>
          <w:lang w:val="en-US" w:eastAsia="uk-UA"/>
        </w:rPr>
        <w:t xml:space="preserve">aged 15-70 </w:t>
      </w:r>
      <w:r w:rsidR="00DD5388" w:rsidRPr="00615904">
        <w:rPr>
          <w:lang w:val="en-US" w:eastAsia="uk-UA"/>
        </w:rPr>
        <w:t>in 201</w:t>
      </w:r>
      <w:r w:rsidR="00C26179">
        <w:rPr>
          <w:lang w:val="en-US" w:eastAsia="uk-UA"/>
        </w:rPr>
        <w:t>8</w:t>
      </w:r>
      <w:r w:rsidR="00DD5388" w:rsidRPr="00615904">
        <w:rPr>
          <w:lang w:val="en-US" w:eastAsia="uk-UA"/>
        </w:rPr>
        <w:t xml:space="preserve"> </w:t>
      </w:r>
      <w:r w:rsidR="00A629DD" w:rsidRPr="00615904">
        <w:rPr>
          <w:lang w:val="en-US"/>
        </w:rPr>
        <w:t>as compared to 201</w:t>
      </w:r>
      <w:r w:rsidR="00C26179">
        <w:rPr>
          <w:lang w:val="en-US"/>
        </w:rPr>
        <w:t>7</w:t>
      </w:r>
      <w:r w:rsidR="00151407" w:rsidRPr="00615904">
        <w:rPr>
          <w:lang w:val="en-US"/>
        </w:rPr>
        <w:t xml:space="preserve"> </w:t>
      </w:r>
      <w:r w:rsidR="00C26179">
        <w:rPr>
          <w:lang w:val="en-US"/>
        </w:rPr>
        <w:t>in</w:t>
      </w:r>
      <w:r w:rsidR="00151407" w:rsidRPr="00615904">
        <w:rPr>
          <w:lang w:val="en-US"/>
        </w:rPr>
        <w:t>creased by 0</w:t>
      </w:r>
      <w:r w:rsidR="008F75E7">
        <w:rPr>
          <w:lang w:val="en-US"/>
        </w:rPr>
        <w:t>,</w:t>
      </w:r>
      <w:r w:rsidR="00C26179">
        <w:rPr>
          <w:lang w:val="en-US"/>
        </w:rPr>
        <w:t>5</w:t>
      </w:r>
      <w:r w:rsidR="00A629DD" w:rsidRPr="00615904">
        <w:rPr>
          <w:lang w:val="en-US"/>
        </w:rPr>
        <w:t>% and made up 1</w:t>
      </w:r>
      <w:r w:rsidR="00151407" w:rsidRPr="00615904">
        <w:rPr>
          <w:lang w:val="en-US"/>
        </w:rPr>
        <w:t>7</w:t>
      </w:r>
      <w:r w:rsidR="008F75E7">
        <w:rPr>
          <w:lang w:val="en-US"/>
        </w:rPr>
        <w:t>,</w:t>
      </w:r>
      <w:r w:rsidR="00151407" w:rsidRPr="00615904">
        <w:rPr>
          <w:lang w:val="en-US"/>
        </w:rPr>
        <w:t>9 million persons of which 17</w:t>
      </w:r>
      <w:r w:rsidR="008F75E7">
        <w:rPr>
          <w:lang w:val="en-US"/>
        </w:rPr>
        <w:t>,</w:t>
      </w:r>
      <w:r w:rsidR="00C26179">
        <w:rPr>
          <w:lang w:val="en-US"/>
        </w:rPr>
        <w:t>3</w:t>
      </w:r>
      <w:r w:rsidR="00A629DD" w:rsidRPr="00615904">
        <w:rPr>
          <w:lang w:val="en-US"/>
        </w:rPr>
        <w:t xml:space="preserve"> million persons (96</w:t>
      </w:r>
      <w:r w:rsidR="008F75E7">
        <w:rPr>
          <w:lang w:val="en-US"/>
        </w:rPr>
        <w:t>,</w:t>
      </w:r>
      <w:r w:rsidR="00C26179">
        <w:rPr>
          <w:lang w:val="en-US"/>
        </w:rPr>
        <w:t>4</w:t>
      </w:r>
      <w:r w:rsidR="00A629DD" w:rsidRPr="00615904">
        <w:rPr>
          <w:lang w:val="en-US"/>
        </w:rPr>
        <w:t xml:space="preserve">%) were at working age. </w:t>
      </w:r>
      <w:r w:rsidR="00273886" w:rsidRPr="00615904">
        <w:rPr>
          <w:color w:val="000000"/>
          <w:lang w:val="en-US"/>
        </w:rPr>
        <w:t>Out of the mentioned number of persons</w:t>
      </w:r>
      <w:r w:rsidRPr="00615904">
        <w:rPr>
          <w:lang w:val="en-US" w:eastAsia="uk-UA"/>
        </w:rPr>
        <w:t xml:space="preserve"> </w:t>
      </w:r>
      <w:r w:rsidR="00F55BCA" w:rsidRPr="00615904">
        <w:rPr>
          <w:lang w:val="en-US" w:eastAsia="uk-UA"/>
        </w:rPr>
        <w:t>9</w:t>
      </w:r>
      <w:r w:rsidR="00C26179">
        <w:rPr>
          <w:lang w:val="en-US" w:eastAsia="uk-UA"/>
        </w:rPr>
        <w:t>1</w:t>
      </w:r>
      <w:proofErr w:type="gramStart"/>
      <w:r w:rsidR="008F75E7">
        <w:rPr>
          <w:lang w:val="en-US" w:eastAsia="uk-UA"/>
        </w:rPr>
        <w:t>,</w:t>
      </w:r>
      <w:r w:rsidR="00C26179">
        <w:rPr>
          <w:lang w:val="en-US" w:eastAsia="uk-UA"/>
        </w:rPr>
        <w:t>2</w:t>
      </w:r>
      <w:proofErr w:type="gramEnd"/>
      <w:r w:rsidRPr="00615904">
        <w:rPr>
          <w:lang w:val="en-US" w:eastAsia="uk-UA"/>
        </w:rPr>
        <w:t xml:space="preserve">% were engaged in economic activity while the </w:t>
      </w:r>
      <w:r w:rsidR="00273886" w:rsidRPr="00615904">
        <w:rPr>
          <w:lang w:val="en-US" w:eastAsia="uk-UA"/>
        </w:rPr>
        <w:t>rest</w:t>
      </w:r>
      <w:r w:rsidRPr="00615904">
        <w:rPr>
          <w:lang w:val="en-US" w:eastAsia="uk-UA"/>
        </w:rPr>
        <w:t xml:space="preserve"> </w:t>
      </w:r>
      <w:r w:rsidR="00C26179">
        <w:rPr>
          <w:lang w:val="en-US" w:eastAsia="uk-UA"/>
        </w:rPr>
        <w:t>8</w:t>
      </w:r>
      <w:r w:rsidR="008F75E7">
        <w:rPr>
          <w:lang w:val="en-US" w:eastAsia="uk-UA"/>
        </w:rPr>
        <w:t>,</w:t>
      </w:r>
      <w:r w:rsidR="00C26179">
        <w:rPr>
          <w:lang w:val="en-US" w:eastAsia="uk-UA"/>
        </w:rPr>
        <w:t>8%</w:t>
      </w:r>
      <w:r w:rsidRPr="00615904">
        <w:rPr>
          <w:lang w:val="en-US" w:eastAsia="uk-UA"/>
        </w:rPr>
        <w:t xml:space="preserve"> </w:t>
      </w:r>
      <w:r w:rsidR="00273886" w:rsidRPr="00615904">
        <w:rPr>
          <w:lang w:val="en-US" w:eastAsia="uk-UA"/>
        </w:rPr>
        <w:t>were classified as</w:t>
      </w:r>
      <w:r w:rsidRPr="00615904">
        <w:rPr>
          <w:lang w:val="en-US" w:eastAsia="uk-UA"/>
        </w:rPr>
        <w:t xml:space="preserve"> </w:t>
      </w:r>
      <w:r w:rsidR="00151407" w:rsidRPr="00615904">
        <w:rPr>
          <w:lang w:val="en-US" w:eastAsia="uk-UA"/>
        </w:rPr>
        <w:t xml:space="preserve">the </w:t>
      </w:r>
      <w:r w:rsidRPr="00615904">
        <w:rPr>
          <w:lang w:val="en-US" w:eastAsia="uk-UA"/>
        </w:rPr>
        <w:t xml:space="preserve">unemployed in </w:t>
      </w:r>
      <w:r w:rsidR="00273886" w:rsidRPr="00615904">
        <w:rPr>
          <w:lang w:val="en-US" w:eastAsia="uk-UA"/>
        </w:rPr>
        <w:t>line</w:t>
      </w:r>
      <w:r w:rsidRPr="00615904">
        <w:rPr>
          <w:lang w:val="en-US" w:eastAsia="uk-UA"/>
        </w:rPr>
        <w:t xml:space="preserve"> with the methodology of International Labo</w:t>
      </w:r>
      <w:r w:rsidR="004804CF" w:rsidRPr="00615904">
        <w:rPr>
          <w:lang w:val="en-US" w:eastAsia="uk-UA"/>
        </w:rPr>
        <w:t>u</w:t>
      </w:r>
      <w:r w:rsidRPr="00615904">
        <w:rPr>
          <w:lang w:val="en-US" w:eastAsia="uk-UA"/>
        </w:rPr>
        <w:t xml:space="preserve">r Organization (ILO). </w:t>
      </w:r>
    </w:p>
    <w:p w:rsidR="008F2AB5" w:rsidRPr="00615904" w:rsidRDefault="00A629DD" w:rsidP="003F3640">
      <w:pPr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  <w:lang w:val="en-US"/>
        </w:rPr>
      </w:pPr>
      <w:r w:rsidRPr="00615904">
        <w:rPr>
          <w:b/>
          <w:bCs/>
          <w:lang w:val="en-US" w:eastAsia="uk-UA"/>
        </w:rPr>
        <w:t>E</w:t>
      </w:r>
      <w:r w:rsidR="00B51FD7" w:rsidRPr="00615904">
        <w:rPr>
          <w:b/>
          <w:bCs/>
          <w:lang w:val="en-US" w:eastAsia="uk-UA"/>
        </w:rPr>
        <w:t xml:space="preserve">conomic activity rate of </w:t>
      </w:r>
      <w:r w:rsidR="00151407" w:rsidRPr="00615904">
        <w:rPr>
          <w:b/>
          <w:bCs/>
          <w:lang w:val="en-US" w:eastAsia="uk-UA"/>
        </w:rPr>
        <w:t xml:space="preserve">the </w:t>
      </w:r>
      <w:r w:rsidR="00B51FD7" w:rsidRPr="00615904">
        <w:rPr>
          <w:b/>
          <w:bCs/>
          <w:lang w:val="en-US" w:eastAsia="uk-UA"/>
        </w:rPr>
        <w:t xml:space="preserve">population </w:t>
      </w:r>
      <w:r w:rsidR="00B51FD7" w:rsidRPr="00615904">
        <w:rPr>
          <w:lang w:val="en-US" w:eastAsia="uk-UA"/>
        </w:rPr>
        <w:t xml:space="preserve">aged 15-70 </w:t>
      </w:r>
      <w:r w:rsidR="00BA6417">
        <w:rPr>
          <w:lang w:val="en-US" w:eastAsia="uk-UA"/>
        </w:rPr>
        <w:t>increased</w:t>
      </w:r>
      <w:r w:rsidRPr="00615904">
        <w:rPr>
          <w:lang w:val="en-US" w:eastAsia="uk-UA"/>
        </w:rPr>
        <w:t xml:space="preserve"> from </w:t>
      </w:r>
      <w:r w:rsidR="00257A1A" w:rsidRPr="00615904">
        <w:rPr>
          <w:lang w:val="en-US" w:eastAsia="uk-UA"/>
        </w:rPr>
        <w:t>62</w:t>
      </w:r>
      <w:proofErr w:type="gramStart"/>
      <w:r w:rsidR="008F75E7">
        <w:rPr>
          <w:lang w:val="en-US" w:eastAsia="uk-UA"/>
        </w:rPr>
        <w:t>,</w:t>
      </w:r>
      <w:r w:rsidR="00BA6417">
        <w:rPr>
          <w:lang w:val="en-US" w:eastAsia="uk-UA"/>
        </w:rPr>
        <w:t>0</w:t>
      </w:r>
      <w:proofErr w:type="gramEnd"/>
      <w:r w:rsidR="00257A1A" w:rsidRPr="00615904">
        <w:rPr>
          <w:lang w:val="en-US" w:eastAsia="uk-UA"/>
        </w:rPr>
        <w:t xml:space="preserve">% </w:t>
      </w:r>
      <w:r w:rsidRPr="00615904">
        <w:rPr>
          <w:lang w:val="en-US" w:eastAsia="uk-UA"/>
        </w:rPr>
        <w:t>in 201</w:t>
      </w:r>
      <w:r w:rsidR="00BA6417">
        <w:rPr>
          <w:lang w:val="en-US" w:eastAsia="uk-UA"/>
        </w:rPr>
        <w:t>7</w:t>
      </w:r>
      <w:r w:rsidRPr="00615904">
        <w:rPr>
          <w:lang w:val="en-US" w:eastAsia="uk-UA"/>
        </w:rPr>
        <w:t xml:space="preserve"> to</w:t>
      </w:r>
      <w:r w:rsidR="00257A1A" w:rsidRPr="00615904">
        <w:rPr>
          <w:lang w:val="en-US" w:eastAsia="uk-UA"/>
        </w:rPr>
        <w:t xml:space="preserve"> </w:t>
      </w:r>
      <w:r w:rsidRPr="00615904">
        <w:rPr>
          <w:lang w:val="en-US" w:eastAsia="uk-UA"/>
        </w:rPr>
        <w:t>62</w:t>
      </w:r>
      <w:r w:rsidR="008F75E7">
        <w:rPr>
          <w:lang w:val="en-US" w:eastAsia="uk-UA"/>
        </w:rPr>
        <w:t>,</w:t>
      </w:r>
      <w:r w:rsidR="00BA6417">
        <w:rPr>
          <w:lang w:val="en-US" w:eastAsia="uk-UA"/>
        </w:rPr>
        <w:t>6</w:t>
      </w:r>
      <w:r w:rsidR="00257A1A" w:rsidRPr="00615904">
        <w:rPr>
          <w:lang w:val="en-US" w:eastAsia="uk-UA"/>
        </w:rPr>
        <w:t xml:space="preserve">% </w:t>
      </w:r>
      <w:r w:rsidRPr="00615904">
        <w:rPr>
          <w:lang w:val="en-US" w:eastAsia="uk-UA"/>
        </w:rPr>
        <w:t>in 201</w:t>
      </w:r>
      <w:r w:rsidR="00BA6417">
        <w:rPr>
          <w:lang w:val="en-US" w:eastAsia="uk-UA"/>
        </w:rPr>
        <w:t>8</w:t>
      </w:r>
      <w:r w:rsidR="00257A1A" w:rsidRPr="00615904">
        <w:rPr>
          <w:lang w:val="en-US" w:eastAsia="uk-UA"/>
        </w:rPr>
        <w:t>.</w:t>
      </w:r>
      <w:r w:rsidR="00B51FD7" w:rsidRPr="00615904">
        <w:rPr>
          <w:lang w:val="en-US" w:eastAsia="uk-UA"/>
        </w:rPr>
        <w:t xml:space="preserve"> </w:t>
      </w:r>
    </w:p>
    <w:p w:rsidR="002C68FE" w:rsidRPr="00615904" w:rsidRDefault="00357FCF" w:rsidP="003F3640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en-US" w:eastAsia="uk-UA"/>
        </w:rPr>
      </w:pPr>
      <w:r w:rsidRPr="00615904">
        <w:rPr>
          <w:b/>
          <w:bCs/>
          <w:lang w:val="en-US" w:eastAsia="uk-UA"/>
        </w:rPr>
        <w:t xml:space="preserve">The number of the employed population </w:t>
      </w:r>
      <w:r w:rsidRPr="00615904">
        <w:rPr>
          <w:rFonts w:ascii="TimesNewRomanPSMT" w:hAnsi="TimesNewRomanPSMT" w:cs="TimesNewRomanPSMT"/>
          <w:lang w:val="en-US" w:eastAsia="uk-UA"/>
        </w:rPr>
        <w:t xml:space="preserve">aged 15-70 </w:t>
      </w:r>
      <w:r w:rsidR="00E73952" w:rsidRPr="00615904">
        <w:rPr>
          <w:rFonts w:ascii="TimesNewRomanPSMT" w:hAnsi="TimesNewRomanPSMT" w:cs="TimesNewRomanPSMT"/>
          <w:lang w:val="en-US" w:eastAsia="uk-UA"/>
        </w:rPr>
        <w:t>in 201</w:t>
      </w:r>
      <w:r w:rsidR="00BA6417">
        <w:rPr>
          <w:rFonts w:ascii="TimesNewRomanPSMT" w:hAnsi="TimesNewRomanPSMT" w:cs="TimesNewRomanPSMT"/>
          <w:lang w:val="en-US" w:eastAsia="uk-UA"/>
        </w:rPr>
        <w:t>8</w:t>
      </w:r>
      <w:r w:rsidR="00E73952" w:rsidRPr="00615904">
        <w:rPr>
          <w:rFonts w:ascii="TimesNewRomanPSMT" w:hAnsi="TimesNewRomanPSMT" w:cs="TimesNewRomanPSMT"/>
          <w:lang w:val="en-US" w:eastAsia="uk-UA"/>
        </w:rPr>
        <w:t xml:space="preserve"> </w:t>
      </w:r>
      <w:r w:rsidR="00E73952" w:rsidRPr="00615904">
        <w:rPr>
          <w:lang w:val="en-US"/>
        </w:rPr>
        <w:t>compared to 201</w:t>
      </w:r>
      <w:r w:rsidR="00BA6417">
        <w:rPr>
          <w:lang w:val="en-US"/>
        </w:rPr>
        <w:t>7</w:t>
      </w:r>
      <w:r w:rsidR="00E73952" w:rsidRPr="00615904">
        <w:rPr>
          <w:lang w:val="en-US"/>
        </w:rPr>
        <w:t xml:space="preserve"> was </w:t>
      </w:r>
      <w:r w:rsidR="00BA6417">
        <w:rPr>
          <w:lang w:val="en-US" w:eastAsia="uk-UA"/>
        </w:rPr>
        <w:t>increased</w:t>
      </w:r>
      <w:r w:rsidR="00E73952" w:rsidRPr="00615904">
        <w:rPr>
          <w:lang w:val="en-US"/>
        </w:rPr>
        <w:t xml:space="preserve"> by </w:t>
      </w:r>
      <w:r w:rsidR="00BA6417">
        <w:rPr>
          <w:lang w:val="en-US"/>
        </w:rPr>
        <w:t>1</w:t>
      </w:r>
      <w:proofErr w:type="gramStart"/>
      <w:r w:rsidR="008F75E7">
        <w:rPr>
          <w:lang w:val="en-US"/>
        </w:rPr>
        <w:t>,</w:t>
      </w:r>
      <w:r w:rsidR="00BA6417">
        <w:rPr>
          <w:lang w:val="en-US"/>
        </w:rPr>
        <w:t>3</w:t>
      </w:r>
      <w:proofErr w:type="gramEnd"/>
      <w:r w:rsidR="00151407" w:rsidRPr="00615904">
        <w:rPr>
          <w:lang w:val="en-US"/>
        </w:rPr>
        <w:t xml:space="preserve">% and accounted for </w:t>
      </w:r>
      <w:r w:rsidR="00E73952" w:rsidRPr="00615904">
        <w:rPr>
          <w:lang w:val="en-US"/>
        </w:rPr>
        <w:t>16</w:t>
      </w:r>
      <w:r w:rsidR="008F75E7">
        <w:rPr>
          <w:lang w:val="en-US"/>
        </w:rPr>
        <w:t>,</w:t>
      </w:r>
      <w:r w:rsidR="00BA6417">
        <w:rPr>
          <w:lang w:val="en-US"/>
        </w:rPr>
        <w:t>4</w:t>
      </w:r>
      <w:r w:rsidR="00151407" w:rsidRPr="00615904">
        <w:rPr>
          <w:lang w:val="en-US"/>
        </w:rPr>
        <w:t xml:space="preserve"> million persons </w:t>
      </w:r>
      <w:r w:rsidR="00E73952" w:rsidRPr="00615904">
        <w:rPr>
          <w:lang w:val="en-US"/>
        </w:rPr>
        <w:t>of which 15</w:t>
      </w:r>
      <w:r w:rsidR="008F75E7">
        <w:rPr>
          <w:lang w:val="en-US"/>
        </w:rPr>
        <w:t>,</w:t>
      </w:r>
      <w:r w:rsidR="00BA6417">
        <w:rPr>
          <w:lang w:val="en-US"/>
        </w:rPr>
        <w:t>7</w:t>
      </w:r>
      <w:r w:rsidR="00E73952" w:rsidRPr="00615904">
        <w:rPr>
          <w:lang w:val="en-US"/>
        </w:rPr>
        <w:t xml:space="preserve"> million persons were at working age.</w:t>
      </w:r>
    </w:p>
    <w:p w:rsidR="00257A1A" w:rsidRPr="00615904" w:rsidRDefault="00357FCF" w:rsidP="003F3640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en-US" w:eastAsia="uk-UA"/>
        </w:rPr>
      </w:pPr>
      <w:r w:rsidRPr="00615904">
        <w:rPr>
          <w:b/>
          <w:bCs/>
          <w:lang w:val="en-US" w:eastAsia="uk-UA"/>
        </w:rPr>
        <w:t xml:space="preserve">Employment rate of the population </w:t>
      </w:r>
      <w:r w:rsidR="002C68FE" w:rsidRPr="00615904">
        <w:rPr>
          <w:rFonts w:ascii="TimesNewRomanPSMT" w:hAnsi="TimesNewRomanPSMT" w:cs="TimesNewRomanPSMT"/>
          <w:lang w:val="en-US" w:eastAsia="uk-UA"/>
        </w:rPr>
        <w:t>aged</w:t>
      </w:r>
      <w:r w:rsidR="00C61A63" w:rsidRPr="00615904">
        <w:rPr>
          <w:rFonts w:ascii="TimesNewRomanPSMT" w:hAnsi="TimesNewRomanPSMT" w:cs="TimesNewRomanPSMT"/>
          <w:lang w:val="en-US" w:eastAsia="uk-UA"/>
        </w:rPr>
        <w:t xml:space="preserve"> </w:t>
      </w:r>
      <w:r w:rsidRPr="00615904">
        <w:rPr>
          <w:rFonts w:ascii="TimesNewRomanPSMT" w:hAnsi="TimesNewRomanPSMT" w:cs="TimesNewRomanPSMT"/>
          <w:lang w:val="en-US" w:eastAsia="uk-UA"/>
        </w:rPr>
        <w:t xml:space="preserve">15-70 </w:t>
      </w:r>
      <w:r w:rsidR="00BA6417">
        <w:rPr>
          <w:lang w:val="en-US"/>
        </w:rPr>
        <w:t>in</w:t>
      </w:r>
      <w:r w:rsidR="00B97567" w:rsidRPr="00615904">
        <w:rPr>
          <w:lang w:val="en-US"/>
        </w:rPr>
        <w:t>creased over the mentioned period from 56</w:t>
      </w:r>
      <w:proofErr w:type="gramStart"/>
      <w:r w:rsidR="00777CA8">
        <w:rPr>
          <w:lang w:val="en-US"/>
        </w:rPr>
        <w:t>,1</w:t>
      </w:r>
      <w:proofErr w:type="gramEnd"/>
      <w:r w:rsidR="00B97567" w:rsidRPr="00615904">
        <w:rPr>
          <w:lang w:val="en-US"/>
        </w:rPr>
        <w:t>% to 5</w:t>
      </w:r>
      <w:r w:rsidR="00BA6417">
        <w:rPr>
          <w:lang w:val="en-US"/>
        </w:rPr>
        <w:t>7</w:t>
      </w:r>
      <w:r w:rsidR="008F75E7">
        <w:rPr>
          <w:lang w:val="en-US"/>
        </w:rPr>
        <w:t>,</w:t>
      </w:r>
      <w:r w:rsidR="00151407" w:rsidRPr="00615904">
        <w:rPr>
          <w:lang w:val="en-US"/>
        </w:rPr>
        <w:t>1</w:t>
      </w:r>
      <w:r w:rsidR="00B97567" w:rsidRPr="00615904">
        <w:rPr>
          <w:lang w:val="en-US"/>
        </w:rPr>
        <w:t>% while</w:t>
      </w:r>
      <w:r w:rsidR="00151407" w:rsidRPr="00615904">
        <w:rPr>
          <w:lang w:val="en-US"/>
        </w:rPr>
        <w:t xml:space="preserve"> among </w:t>
      </w:r>
      <w:r w:rsidR="00B97567" w:rsidRPr="00615904">
        <w:rPr>
          <w:lang w:val="en-US"/>
        </w:rPr>
        <w:t xml:space="preserve">working age population </w:t>
      </w:r>
      <w:r w:rsidR="00151407" w:rsidRPr="00615904">
        <w:rPr>
          <w:lang w:val="en-US"/>
        </w:rPr>
        <w:t>it to the contrary was up from 64</w:t>
      </w:r>
      <w:r w:rsidR="008F75E7">
        <w:rPr>
          <w:lang w:val="en-US"/>
        </w:rPr>
        <w:t>,</w:t>
      </w:r>
      <w:r w:rsidR="00BA6417">
        <w:rPr>
          <w:lang w:val="en-US"/>
        </w:rPr>
        <w:t>5</w:t>
      </w:r>
      <w:r w:rsidR="00151407" w:rsidRPr="00615904">
        <w:rPr>
          <w:lang w:val="en-US"/>
        </w:rPr>
        <w:t>% to 6</w:t>
      </w:r>
      <w:r w:rsidR="00BA6417">
        <w:rPr>
          <w:lang w:val="en-US"/>
        </w:rPr>
        <w:t>6</w:t>
      </w:r>
      <w:r w:rsidR="008F75E7">
        <w:rPr>
          <w:lang w:val="en-US"/>
        </w:rPr>
        <w:t>,</w:t>
      </w:r>
      <w:r w:rsidR="00BA6417">
        <w:rPr>
          <w:lang w:val="en-US"/>
        </w:rPr>
        <w:t>1</w:t>
      </w:r>
      <w:r w:rsidR="00151407" w:rsidRPr="00615904">
        <w:rPr>
          <w:lang w:val="en-US"/>
        </w:rPr>
        <w:t xml:space="preserve">%. </w:t>
      </w:r>
    </w:p>
    <w:p w:rsidR="008F2AB5" w:rsidRPr="00615904" w:rsidRDefault="00257A1A" w:rsidP="003F3640">
      <w:pPr>
        <w:autoSpaceDE w:val="0"/>
        <w:autoSpaceDN w:val="0"/>
        <w:adjustRightInd w:val="0"/>
        <w:ind w:firstLine="567"/>
        <w:jc w:val="both"/>
        <w:rPr>
          <w:rStyle w:val="apple-converted-space"/>
          <w:color w:val="000000"/>
          <w:sz w:val="27"/>
          <w:szCs w:val="27"/>
          <w:lang w:val="en-US"/>
        </w:rPr>
      </w:pPr>
      <w:r w:rsidRPr="00615904">
        <w:rPr>
          <w:color w:val="000000"/>
          <w:lang w:val="en-US"/>
        </w:rPr>
        <w:t xml:space="preserve">The highest rate of this indicator was observed among persons aged </w:t>
      </w:r>
      <w:r w:rsidR="00BA6417">
        <w:rPr>
          <w:color w:val="000000"/>
          <w:lang w:val="en-US"/>
        </w:rPr>
        <w:t>40</w:t>
      </w:r>
      <w:r w:rsidRPr="00615904">
        <w:rPr>
          <w:color w:val="000000"/>
          <w:lang w:val="en-US"/>
        </w:rPr>
        <w:t>-49 while the lowest one was characteristic for the young aged 15-24 and persons aged 60-70.</w:t>
      </w:r>
      <w:r w:rsidR="008F2AB5" w:rsidRPr="00615904">
        <w:rPr>
          <w:rStyle w:val="apple-converted-space"/>
          <w:color w:val="000000"/>
          <w:sz w:val="27"/>
          <w:szCs w:val="27"/>
          <w:lang w:val="en-US"/>
        </w:rPr>
        <w:t> </w:t>
      </w:r>
    </w:p>
    <w:p w:rsidR="002C68FE" w:rsidRPr="00615904" w:rsidRDefault="00257A1A" w:rsidP="003F3640">
      <w:pPr>
        <w:pStyle w:val="a3"/>
        <w:spacing w:before="0" w:beforeAutospacing="0" w:after="0" w:afterAutospacing="0"/>
        <w:ind w:right="45" w:firstLine="567"/>
        <w:jc w:val="both"/>
        <w:rPr>
          <w:lang w:val="en-US"/>
        </w:rPr>
      </w:pPr>
      <w:r w:rsidRPr="00615904">
        <w:rPr>
          <w:color w:val="000000"/>
          <w:lang w:val="en-US"/>
        </w:rPr>
        <w:t>In the composition of the employed population by occupational group, the largest share accounted for the persons who worked in the less-skilled occupations (1</w:t>
      </w:r>
      <w:r w:rsidR="00151407" w:rsidRPr="00615904">
        <w:rPr>
          <w:color w:val="000000"/>
          <w:lang w:val="en-US"/>
        </w:rPr>
        <w:t>9</w:t>
      </w:r>
      <w:proofErr w:type="gramStart"/>
      <w:r w:rsidR="008F75E7">
        <w:rPr>
          <w:color w:val="000000"/>
          <w:lang w:val="en-US"/>
        </w:rPr>
        <w:t>,</w:t>
      </w:r>
      <w:r w:rsidR="00BA6417">
        <w:rPr>
          <w:color w:val="000000"/>
          <w:lang w:val="en-US"/>
        </w:rPr>
        <w:t>1</w:t>
      </w:r>
      <w:proofErr w:type="gramEnd"/>
      <w:r w:rsidRPr="00615904">
        <w:rPr>
          <w:color w:val="000000"/>
          <w:lang w:val="en-US"/>
        </w:rPr>
        <w:t>%), professionals (1</w:t>
      </w:r>
      <w:r w:rsidR="00BA6417">
        <w:rPr>
          <w:color w:val="000000"/>
          <w:lang w:val="en-US"/>
        </w:rPr>
        <w:t>8</w:t>
      </w:r>
      <w:r w:rsidR="008F75E7">
        <w:rPr>
          <w:color w:val="000000"/>
          <w:lang w:val="en-US"/>
        </w:rPr>
        <w:t>,</w:t>
      </w:r>
      <w:r w:rsidR="00BA6417">
        <w:rPr>
          <w:color w:val="000000"/>
          <w:lang w:val="en-US"/>
        </w:rPr>
        <w:t>4</w:t>
      </w:r>
      <w:r w:rsidRPr="00615904">
        <w:rPr>
          <w:color w:val="000000"/>
          <w:lang w:val="en-US"/>
        </w:rPr>
        <w:t xml:space="preserve">%) and </w:t>
      </w:r>
      <w:r w:rsidR="00C160EC" w:rsidRPr="00615904">
        <w:rPr>
          <w:lang w:val="en-US"/>
        </w:rPr>
        <w:t>services and sales workers</w:t>
      </w:r>
      <w:r w:rsidR="00C160EC" w:rsidRPr="00615904">
        <w:rPr>
          <w:color w:val="000000"/>
          <w:lang w:val="en-US"/>
        </w:rPr>
        <w:t xml:space="preserve"> </w:t>
      </w:r>
      <w:r w:rsidRPr="00615904">
        <w:rPr>
          <w:color w:val="000000"/>
          <w:lang w:val="en-US"/>
        </w:rPr>
        <w:t>(16</w:t>
      </w:r>
      <w:r w:rsidR="008F75E7">
        <w:rPr>
          <w:color w:val="000000"/>
          <w:lang w:val="en-US"/>
        </w:rPr>
        <w:t>,</w:t>
      </w:r>
      <w:r w:rsidR="00BA6417">
        <w:rPr>
          <w:color w:val="000000"/>
          <w:lang w:val="en-US"/>
        </w:rPr>
        <w:t>8</w:t>
      </w:r>
      <w:r w:rsidRPr="00615904">
        <w:rPr>
          <w:color w:val="000000"/>
          <w:lang w:val="en-US"/>
        </w:rPr>
        <w:t>%).</w:t>
      </w:r>
      <w:r w:rsidR="00913740" w:rsidRPr="00615904">
        <w:rPr>
          <w:rStyle w:val="notranslate"/>
          <w:color w:val="000000"/>
          <w:lang w:val="en-US"/>
        </w:rPr>
        <w:t xml:space="preserve"> </w:t>
      </w:r>
      <w:r w:rsidR="00244475" w:rsidRPr="00615904">
        <w:rPr>
          <w:lang w:val="en-US"/>
        </w:rPr>
        <w:t>Moreover, the smallest share among the employed population was comprised by technical employees (</w:t>
      </w:r>
      <w:r w:rsidR="00BA6417">
        <w:rPr>
          <w:lang w:val="en-US"/>
        </w:rPr>
        <w:t>2</w:t>
      </w:r>
      <w:proofErr w:type="gramStart"/>
      <w:r w:rsidR="008F75E7">
        <w:rPr>
          <w:lang w:val="en-US"/>
        </w:rPr>
        <w:t>,</w:t>
      </w:r>
      <w:r w:rsidR="00BA6417">
        <w:rPr>
          <w:lang w:val="en-US"/>
        </w:rPr>
        <w:t>9</w:t>
      </w:r>
      <w:proofErr w:type="gramEnd"/>
      <w:r w:rsidR="00244475" w:rsidRPr="00615904">
        <w:rPr>
          <w:lang w:val="en-US"/>
        </w:rPr>
        <w:t>%) and the qualified workers of agriculture and forestr</w:t>
      </w:r>
      <w:r w:rsidR="009B2243" w:rsidRPr="00615904">
        <w:rPr>
          <w:lang w:val="en-US"/>
        </w:rPr>
        <w:t>y, fish-farming and fishing (0</w:t>
      </w:r>
      <w:r w:rsidR="008F75E7">
        <w:rPr>
          <w:lang w:val="en-US"/>
        </w:rPr>
        <w:t>,</w:t>
      </w:r>
      <w:r w:rsidR="00BA6417">
        <w:rPr>
          <w:lang w:val="en-US"/>
        </w:rPr>
        <w:t>7</w:t>
      </w:r>
      <w:r w:rsidR="00244475" w:rsidRPr="00615904">
        <w:rPr>
          <w:lang w:val="en-US"/>
        </w:rPr>
        <w:t>%).</w:t>
      </w:r>
    </w:p>
    <w:p w:rsidR="00B05B9B" w:rsidRPr="00615904" w:rsidRDefault="00B05B9B" w:rsidP="003F364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en-US"/>
        </w:rPr>
      </w:pPr>
      <w:r w:rsidRPr="00615904">
        <w:rPr>
          <w:color w:val="000000"/>
          <w:lang w:val="en-US"/>
        </w:rPr>
        <w:t xml:space="preserve">Among the total number of the employed persons, every </w:t>
      </w:r>
      <w:r w:rsidR="00D2572F">
        <w:rPr>
          <w:rStyle w:val="tlid-translation"/>
          <w:lang w:val="en"/>
        </w:rPr>
        <w:t>fourth</w:t>
      </w:r>
      <w:r w:rsidR="009B2243" w:rsidRPr="00615904">
        <w:rPr>
          <w:color w:val="000000"/>
          <w:lang w:val="en-US"/>
        </w:rPr>
        <w:t xml:space="preserve"> </w:t>
      </w:r>
      <w:r w:rsidR="00C5361D" w:rsidRPr="00615904">
        <w:rPr>
          <w:color w:val="000000"/>
          <w:lang w:val="en-US"/>
        </w:rPr>
        <w:t xml:space="preserve">worked for trade, every </w:t>
      </w:r>
      <w:r w:rsidRPr="00615904">
        <w:rPr>
          <w:color w:val="000000"/>
          <w:lang w:val="en-US"/>
        </w:rPr>
        <w:t>sixth for agriculture</w:t>
      </w:r>
      <w:r w:rsidR="00C5361D" w:rsidRPr="00615904">
        <w:rPr>
          <w:color w:val="000000"/>
          <w:lang w:val="en-US"/>
        </w:rPr>
        <w:t>,</w:t>
      </w:r>
      <w:r w:rsidRPr="00615904">
        <w:rPr>
          <w:color w:val="000000"/>
          <w:lang w:val="en-US"/>
        </w:rPr>
        <w:t xml:space="preserve"> </w:t>
      </w:r>
      <w:r w:rsidR="009B2243" w:rsidRPr="00615904">
        <w:rPr>
          <w:color w:val="000000"/>
          <w:lang w:val="en-US"/>
        </w:rPr>
        <w:t xml:space="preserve">forestry and fishery, </w:t>
      </w:r>
      <w:r w:rsidRPr="00615904">
        <w:rPr>
          <w:color w:val="000000"/>
          <w:lang w:val="en-US"/>
        </w:rPr>
        <w:t>every seventh for industry.</w:t>
      </w:r>
    </w:p>
    <w:p w:rsidR="007D65F5" w:rsidRPr="00615904" w:rsidRDefault="009B2243" w:rsidP="003F3640">
      <w:pPr>
        <w:ind w:firstLine="567"/>
        <w:jc w:val="both"/>
        <w:rPr>
          <w:lang w:val="en-US"/>
        </w:rPr>
      </w:pPr>
      <w:r w:rsidRPr="00615904">
        <w:rPr>
          <w:lang w:val="en-US"/>
        </w:rPr>
        <w:t>T</w:t>
      </w:r>
      <w:r w:rsidR="006F3536" w:rsidRPr="00615904">
        <w:rPr>
          <w:lang w:val="en-US"/>
        </w:rPr>
        <w:t xml:space="preserve">he number of informally employed population </w:t>
      </w:r>
      <w:r w:rsidRPr="00615904">
        <w:rPr>
          <w:lang w:val="en-US"/>
        </w:rPr>
        <w:t>as compared to 201</w:t>
      </w:r>
      <w:r w:rsidR="00D2572F">
        <w:rPr>
          <w:lang w:val="en-US"/>
        </w:rPr>
        <w:t>7</w:t>
      </w:r>
      <w:r w:rsidRPr="00615904">
        <w:rPr>
          <w:lang w:val="en-US"/>
        </w:rPr>
        <w:t xml:space="preserve"> </w:t>
      </w:r>
      <w:r w:rsidR="006F3536" w:rsidRPr="00615904">
        <w:rPr>
          <w:lang w:val="en-US"/>
        </w:rPr>
        <w:t xml:space="preserve">reduced by </w:t>
      </w:r>
      <w:r w:rsidR="00D2572F">
        <w:rPr>
          <w:lang w:val="en-US"/>
        </w:rPr>
        <w:t>4</w:t>
      </w:r>
      <w:proofErr w:type="gramStart"/>
      <w:r w:rsidR="008F75E7">
        <w:rPr>
          <w:lang w:val="en-US"/>
        </w:rPr>
        <w:t>,</w:t>
      </w:r>
      <w:r w:rsidR="00D2572F">
        <w:rPr>
          <w:lang w:val="en-US"/>
        </w:rPr>
        <w:t>2</w:t>
      </w:r>
      <w:proofErr w:type="gramEnd"/>
      <w:r w:rsidRPr="00615904">
        <w:rPr>
          <w:lang w:val="en-US"/>
        </w:rPr>
        <w:t>% and in 201</w:t>
      </w:r>
      <w:r w:rsidR="00D2572F">
        <w:rPr>
          <w:lang w:val="en-US"/>
        </w:rPr>
        <w:t>8</w:t>
      </w:r>
      <w:r w:rsidRPr="00615904">
        <w:rPr>
          <w:lang w:val="en-US"/>
        </w:rPr>
        <w:t xml:space="preserve"> it made up 3</w:t>
      </w:r>
      <w:r w:rsidR="008F75E7">
        <w:rPr>
          <w:lang w:val="en-US"/>
        </w:rPr>
        <w:t>,</w:t>
      </w:r>
      <w:r w:rsidR="00D2572F">
        <w:rPr>
          <w:lang w:val="en-US"/>
        </w:rPr>
        <w:t>5</w:t>
      </w:r>
      <w:r w:rsidR="006F3536" w:rsidRPr="00615904">
        <w:rPr>
          <w:lang w:val="en-US"/>
        </w:rPr>
        <w:t xml:space="preserve"> million persons or 2</w:t>
      </w:r>
      <w:r w:rsidR="00D2572F">
        <w:rPr>
          <w:lang w:val="en-US"/>
        </w:rPr>
        <w:t>1</w:t>
      </w:r>
      <w:r w:rsidR="008F75E7">
        <w:rPr>
          <w:lang w:val="en-US"/>
        </w:rPr>
        <w:t>,</w:t>
      </w:r>
      <w:r w:rsidR="00D2572F">
        <w:rPr>
          <w:lang w:val="en-US"/>
        </w:rPr>
        <w:t>6</w:t>
      </w:r>
      <w:r w:rsidR="006F3536" w:rsidRPr="00615904">
        <w:rPr>
          <w:lang w:val="en-US"/>
        </w:rPr>
        <w:t>% of the total employed population</w:t>
      </w:r>
      <w:r w:rsidR="006F3536" w:rsidRPr="006238BC">
        <w:rPr>
          <w:lang w:val="en-US"/>
        </w:rPr>
        <w:t xml:space="preserve">. </w:t>
      </w:r>
      <w:r w:rsidRPr="006238BC">
        <w:rPr>
          <w:lang w:val="en-US"/>
        </w:rPr>
        <w:t>At present, an increase in the share of officially employed population was observed; from 7</w:t>
      </w:r>
      <w:r w:rsidR="00F633A8" w:rsidRPr="006238BC">
        <w:rPr>
          <w:lang w:val="uk-UA"/>
        </w:rPr>
        <w:t>7</w:t>
      </w:r>
      <w:proofErr w:type="gramStart"/>
      <w:r w:rsidR="008F75E7" w:rsidRPr="006238BC">
        <w:rPr>
          <w:lang w:val="en-US"/>
        </w:rPr>
        <w:t>,</w:t>
      </w:r>
      <w:r w:rsidR="00F633A8" w:rsidRPr="006238BC">
        <w:rPr>
          <w:lang w:val="uk-UA"/>
        </w:rPr>
        <w:t>1</w:t>
      </w:r>
      <w:proofErr w:type="gramEnd"/>
      <w:r w:rsidRPr="006238BC">
        <w:rPr>
          <w:lang w:val="en-US"/>
        </w:rPr>
        <w:t>% in 201</w:t>
      </w:r>
      <w:r w:rsidR="00F633A8" w:rsidRPr="006238BC">
        <w:rPr>
          <w:lang w:val="uk-UA"/>
        </w:rPr>
        <w:t>7</w:t>
      </w:r>
      <w:r w:rsidRPr="006238BC">
        <w:rPr>
          <w:lang w:val="en-US"/>
        </w:rPr>
        <w:t xml:space="preserve"> to 7</w:t>
      </w:r>
      <w:r w:rsidR="00F633A8" w:rsidRPr="006238BC">
        <w:rPr>
          <w:lang w:val="uk-UA"/>
        </w:rPr>
        <w:t>8</w:t>
      </w:r>
      <w:r w:rsidR="008F75E7" w:rsidRPr="006238BC">
        <w:rPr>
          <w:lang w:val="en-US"/>
        </w:rPr>
        <w:t>,</w:t>
      </w:r>
      <w:r w:rsidR="00F633A8" w:rsidRPr="006238BC">
        <w:rPr>
          <w:lang w:val="uk-UA"/>
        </w:rPr>
        <w:t>4</w:t>
      </w:r>
      <w:r w:rsidRPr="006238BC">
        <w:rPr>
          <w:lang w:val="en-US"/>
        </w:rPr>
        <w:t>% in 201</w:t>
      </w:r>
      <w:r w:rsidR="00F633A8" w:rsidRPr="006238BC">
        <w:rPr>
          <w:lang w:val="uk-UA"/>
        </w:rPr>
        <w:t>8</w:t>
      </w:r>
      <w:r w:rsidRPr="006238BC">
        <w:rPr>
          <w:lang w:val="en-US"/>
        </w:rPr>
        <w:t>.</w:t>
      </w:r>
      <w:r w:rsidRPr="007E402D">
        <w:rPr>
          <w:lang w:val="en-US"/>
        </w:rPr>
        <w:t xml:space="preserve"> </w:t>
      </w:r>
    </w:p>
    <w:p w:rsidR="009B2243" w:rsidRPr="00615904" w:rsidRDefault="007D65F5" w:rsidP="003F3640">
      <w:pPr>
        <w:ind w:firstLine="567"/>
        <w:jc w:val="both"/>
        <w:rPr>
          <w:lang w:val="en-US"/>
        </w:rPr>
      </w:pPr>
      <w:r w:rsidRPr="00615904">
        <w:rPr>
          <w:lang w:val="en-US"/>
        </w:rPr>
        <w:t>The informal labo</w:t>
      </w:r>
      <w:r w:rsidR="004804CF" w:rsidRPr="00615904">
        <w:rPr>
          <w:lang w:val="en-US"/>
        </w:rPr>
        <w:t>u</w:t>
      </w:r>
      <w:r w:rsidRPr="00615904">
        <w:rPr>
          <w:lang w:val="en-US"/>
        </w:rPr>
        <w:t xml:space="preserve">r relations prevailed in </w:t>
      </w:r>
      <w:r w:rsidR="00EA257A" w:rsidRPr="00615904">
        <w:rPr>
          <w:lang w:val="en-US"/>
        </w:rPr>
        <w:t xml:space="preserve">the </w:t>
      </w:r>
      <w:r w:rsidRPr="00615904">
        <w:rPr>
          <w:lang w:val="en-US"/>
        </w:rPr>
        <w:t>self-employment sector where a share of the population who worked on informal work places was 7</w:t>
      </w:r>
      <w:r w:rsidR="00276430">
        <w:rPr>
          <w:lang w:val="en-US"/>
        </w:rPr>
        <w:t>1</w:t>
      </w:r>
      <w:r w:rsidR="008F75E7">
        <w:rPr>
          <w:lang w:val="en-US"/>
        </w:rPr>
        <w:t>,</w:t>
      </w:r>
      <w:r w:rsidRPr="00615904">
        <w:rPr>
          <w:lang w:val="en-US"/>
        </w:rPr>
        <w:t xml:space="preserve">9% and among </w:t>
      </w:r>
      <w:r w:rsidR="006238BC">
        <w:rPr>
          <w:lang w:val="en-US"/>
        </w:rPr>
        <w:t xml:space="preserve">employees </w:t>
      </w:r>
      <w:r w:rsidRPr="00615904">
        <w:rPr>
          <w:lang w:val="en-US"/>
        </w:rPr>
        <w:t>it totaled to 1</w:t>
      </w:r>
      <w:r w:rsidR="00276430">
        <w:rPr>
          <w:lang w:val="en-US"/>
        </w:rPr>
        <w:t>2</w:t>
      </w:r>
      <w:r w:rsidR="008F75E7">
        <w:rPr>
          <w:lang w:val="en-US"/>
        </w:rPr>
        <w:t>,</w:t>
      </w:r>
      <w:r w:rsidR="00276430">
        <w:rPr>
          <w:lang w:val="en-US"/>
        </w:rPr>
        <w:t>2</w:t>
      </w:r>
      <w:r w:rsidRPr="00615904">
        <w:rPr>
          <w:lang w:val="en-US"/>
        </w:rPr>
        <w:t xml:space="preserve">%. </w:t>
      </w:r>
      <w:r w:rsidR="00EA257A" w:rsidRPr="00615904">
        <w:rPr>
          <w:lang w:val="en-US"/>
        </w:rPr>
        <w:t>At that, a share of the persons working in the self-employment sector was the highest among the women than among the men (7</w:t>
      </w:r>
      <w:r w:rsidR="00276430">
        <w:rPr>
          <w:lang w:val="en-US"/>
        </w:rPr>
        <w:t>4</w:t>
      </w:r>
      <w:proofErr w:type="gramStart"/>
      <w:r w:rsidR="008F75E7">
        <w:rPr>
          <w:lang w:val="en-US"/>
        </w:rPr>
        <w:t>,</w:t>
      </w:r>
      <w:r w:rsidR="00276430">
        <w:rPr>
          <w:lang w:val="en-US"/>
        </w:rPr>
        <w:t>6</w:t>
      </w:r>
      <w:proofErr w:type="gramEnd"/>
      <w:r w:rsidR="00EA257A" w:rsidRPr="00615904">
        <w:rPr>
          <w:lang w:val="en-US"/>
        </w:rPr>
        <w:t>% against 7</w:t>
      </w:r>
      <w:r w:rsidR="00276430">
        <w:rPr>
          <w:lang w:val="en-US"/>
        </w:rPr>
        <w:t>0</w:t>
      </w:r>
      <w:r w:rsidR="008F75E7">
        <w:rPr>
          <w:lang w:val="en-US"/>
        </w:rPr>
        <w:t>,</w:t>
      </w:r>
      <w:r w:rsidR="00276430">
        <w:rPr>
          <w:lang w:val="en-US"/>
        </w:rPr>
        <w:t>1</w:t>
      </w:r>
      <w:r w:rsidR="00EA257A" w:rsidRPr="00615904">
        <w:rPr>
          <w:lang w:val="en-US"/>
        </w:rPr>
        <w:t xml:space="preserve">%) and in the rural area as compared to the urban </w:t>
      </w:r>
      <w:r w:rsidR="00276430">
        <w:rPr>
          <w:lang w:val="en-US"/>
        </w:rPr>
        <w:t>area</w:t>
      </w:r>
      <w:r w:rsidR="00EA257A" w:rsidRPr="00615904">
        <w:rPr>
          <w:lang w:val="en-US"/>
        </w:rPr>
        <w:t xml:space="preserve"> (9</w:t>
      </w:r>
      <w:r w:rsidR="00276430">
        <w:rPr>
          <w:lang w:val="en-US"/>
        </w:rPr>
        <w:t>1</w:t>
      </w:r>
      <w:r w:rsidR="008F75E7">
        <w:rPr>
          <w:lang w:val="en-US"/>
        </w:rPr>
        <w:t>,</w:t>
      </w:r>
      <w:r w:rsidR="00276430">
        <w:rPr>
          <w:lang w:val="en-US"/>
        </w:rPr>
        <w:t>0</w:t>
      </w:r>
      <w:r w:rsidR="00EA257A" w:rsidRPr="00615904">
        <w:rPr>
          <w:lang w:val="en-US"/>
        </w:rPr>
        <w:t>% against 4</w:t>
      </w:r>
      <w:r w:rsidR="00276430">
        <w:rPr>
          <w:lang w:val="en-US"/>
        </w:rPr>
        <w:t>2</w:t>
      </w:r>
      <w:r w:rsidR="008F75E7">
        <w:rPr>
          <w:lang w:val="en-US"/>
        </w:rPr>
        <w:t>,</w:t>
      </w:r>
      <w:r w:rsidR="00276430">
        <w:rPr>
          <w:lang w:val="en-US"/>
        </w:rPr>
        <w:t>2</w:t>
      </w:r>
      <w:r w:rsidR="00EA257A" w:rsidRPr="00615904">
        <w:rPr>
          <w:lang w:val="en-US"/>
        </w:rPr>
        <w:t xml:space="preserve">%).  </w:t>
      </w:r>
    </w:p>
    <w:p w:rsidR="00EA257A" w:rsidRPr="00615904" w:rsidRDefault="00EA257A" w:rsidP="003F3640">
      <w:pPr>
        <w:ind w:firstLine="567"/>
        <w:jc w:val="both"/>
        <w:rPr>
          <w:lang w:val="en-US"/>
        </w:rPr>
      </w:pPr>
      <w:r w:rsidRPr="006238BC">
        <w:rPr>
          <w:lang w:val="en-US"/>
        </w:rPr>
        <w:t>Agriculture, forestry and fishery are the main type of activity for the info</w:t>
      </w:r>
      <w:r w:rsidR="00276430" w:rsidRPr="006238BC">
        <w:rPr>
          <w:lang w:val="en-US"/>
        </w:rPr>
        <w:t>rmally employed population (42</w:t>
      </w:r>
      <w:proofErr w:type="gramStart"/>
      <w:r w:rsidR="008F75E7" w:rsidRPr="006238BC">
        <w:rPr>
          <w:lang w:val="en-US"/>
        </w:rPr>
        <w:t>,</w:t>
      </w:r>
      <w:r w:rsidR="00276430" w:rsidRPr="006238BC">
        <w:rPr>
          <w:lang w:val="en-US"/>
        </w:rPr>
        <w:t>9</w:t>
      </w:r>
      <w:proofErr w:type="gramEnd"/>
      <w:r w:rsidRPr="006238BC">
        <w:rPr>
          <w:lang w:val="en-US"/>
        </w:rPr>
        <w:t xml:space="preserve">%). </w:t>
      </w:r>
      <w:r w:rsidR="003F3640" w:rsidRPr="006238BC">
        <w:rPr>
          <w:lang w:val="en-US"/>
        </w:rPr>
        <w:t>Also, one in fi</w:t>
      </w:r>
      <w:r w:rsidR="007E402D" w:rsidRPr="006238BC">
        <w:rPr>
          <w:lang w:val="en-US"/>
        </w:rPr>
        <w:t>fth</w:t>
      </w:r>
      <w:r w:rsidR="003F3640" w:rsidRPr="006238BC">
        <w:rPr>
          <w:lang w:val="en-US"/>
        </w:rPr>
        <w:t xml:space="preserve"> (18</w:t>
      </w:r>
      <w:proofErr w:type="gramStart"/>
      <w:r w:rsidR="008F75E7" w:rsidRPr="006238BC">
        <w:rPr>
          <w:lang w:val="en-US"/>
        </w:rPr>
        <w:t>,</w:t>
      </w:r>
      <w:r w:rsidR="003F3640" w:rsidRPr="006238BC">
        <w:rPr>
          <w:lang w:val="en-US"/>
        </w:rPr>
        <w:t>2</w:t>
      </w:r>
      <w:proofErr w:type="gramEnd"/>
      <w:r w:rsidR="003F3640" w:rsidRPr="006238BC">
        <w:rPr>
          <w:lang w:val="en-US"/>
        </w:rPr>
        <w:t>%) was informally employed in</w:t>
      </w:r>
      <w:r w:rsidRPr="006238BC">
        <w:rPr>
          <w:lang w:val="en-US"/>
        </w:rPr>
        <w:t xml:space="preserve"> wholesale and retail trade</w:t>
      </w:r>
      <w:r w:rsidR="003F3640" w:rsidRPr="006238BC">
        <w:rPr>
          <w:lang w:val="en-US"/>
        </w:rPr>
        <w:t>,</w:t>
      </w:r>
      <w:r w:rsidRPr="006238BC">
        <w:rPr>
          <w:lang w:val="en-US"/>
        </w:rPr>
        <w:t xml:space="preserve"> and</w:t>
      </w:r>
      <w:r w:rsidR="003F3640" w:rsidRPr="006238BC">
        <w:rPr>
          <w:lang w:val="en-US"/>
        </w:rPr>
        <w:t xml:space="preserve"> one in six (15</w:t>
      </w:r>
      <w:r w:rsidR="008F75E7" w:rsidRPr="006238BC">
        <w:rPr>
          <w:lang w:val="en-US"/>
        </w:rPr>
        <w:t>,</w:t>
      </w:r>
      <w:r w:rsidR="003F3640" w:rsidRPr="006238BC">
        <w:rPr>
          <w:lang w:val="en-US"/>
        </w:rPr>
        <w:t>9%)</w:t>
      </w:r>
      <w:r w:rsidRPr="006238BC">
        <w:rPr>
          <w:lang w:val="en-US"/>
        </w:rPr>
        <w:t xml:space="preserve"> construction.</w:t>
      </w:r>
      <w:r w:rsidRPr="00615904">
        <w:rPr>
          <w:lang w:val="en-US"/>
        </w:rPr>
        <w:t xml:space="preserve"> </w:t>
      </w:r>
    </w:p>
    <w:p w:rsidR="00EA257A" w:rsidRPr="00615904" w:rsidRDefault="00AC59F8" w:rsidP="003F3640">
      <w:pPr>
        <w:ind w:firstLine="567"/>
        <w:jc w:val="both"/>
        <w:rPr>
          <w:lang w:val="en-US"/>
        </w:rPr>
      </w:pPr>
      <w:r w:rsidRPr="00615904">
        <w:rPr>
          <w:lang w:val="en-US"/>
        </w:rPr>
        <w:t>In 201</w:t>
      </w:r>
      <w:r w:rsidR="003F3640">
        <w:rPr>
          <w:lang w:val="en-US"/>
        </w:rPr>
        <w:t>8</w:t>
      </w:r>
      <w:r w:rsidRPr="00615904">
        <w:rPr>
          <w:lang w:val="en-US"/>
        </w:rPr>
        <w:t xml:space="preserve">, </w:t>
      </w:r>
      <w:r w:rsidR="009C4605" w:rsidRPr="00615904">
        <w:rPr>
          <w:lang w:val="en-US"/>
        </w:rPr>
        <w:t xml:space="preserve">the </w:t>
      </w:r>
      <w:r w:rsidRPr="00615904">
        <w:rPr>
          <w:lang w:val="en-US"/>
        </w:rPr>
        <w:t>two thirds of the informally employed population had vocational and co</w:t>
      </w:r>
      <w:r w:rsidR="003F3640">
        <w:rPr>
          <w:lang w:val="en-US"/>
        </w:rPr>
        <w:t>mplete secondary education (66</w:t>
      </w:r>
      <w:proofErr w:type="gramStart"/>
      <w:r w:rsidR="008F75E7">
        <w:rPr>
          <w:lang w:val="en-US"/>
        </w:rPr>
        <w:t>,</w:t>
      </w:r>
      <w:r w:rsidR="005D54E1">
        <w:rPr>
          <w:lang w:val="uk-UA"/>
        </w:rPr>
        <w:t>8</w:t>
      </w:r>
      <w:proofErr w:type="gramEnd"/>
      <w:r w:rsidRPr="00615904">
        <w:rPr>
          <w:lang w:val="en-US"/>
        </w:rPr>
        <w:t>%) while among the officially employed population the persons with tertiary education (61</w:t>
      </w:r>
      <w:r w:rsidR="008F75E7">
        <w:rPr>
          <w:lang w:val="en-US"/>
        </w:rPr>
        <w:t>,</w:t>
      </w:r>
      <w:r w:rsidR="005D54E1">
        <w:rPr>
          <w:lang w:val="uk-UA"/>
        </w:rPr>
        <w:t>0</w:t>
      </w:r>
      <w:r w:rsidRPr="00615904">
        <w:rPr>
          <w:lang w:val="en-US"/>
        </w:rPr>
        <w:t>%) prevailed</w:t>
      </w:r>
      <w:r w:rsidRPr="00615904">
        <w:rPr>
          <w:rStyle w:val="ab"/>
          <w:lang w:val="en-US"/>
        </w:rPr>
        <w:footnoteReference w:id="1"/>
      </w:r>
      <w:r w:rsidRPr="00615904">
        <w:rPr>
          <w:lang w:val="en-US"/>
        </w:rPr>
        <w:t>. As a result, the informally employed population in most cases was employed in the simple occupations as compared to the officially employed persons (5</w:t>
      </w:r>
      <w:r w:rsidR="003F3640">
        <w:rPr>
          <w:lang w:val="en-US"/>
        </w:rPr>
        <w:t>2</w:t>
      </w:r>
      <w:proofErr w:type="gramStart"/>
      <w:r w:rsidR="008F75E7">
        <w:rPr>
          <w:lang w:val="en-US"/>
        </w:rPr>
        <w:t>,</w:t>
      </w:r>
      <w:r w:rsidR="003F3640">
        <w:rPr>
          <w:lang w:val="en-US"/>
        </w:rPr>
        <w:t>3</w:t>
      </w:r>
      <w:proofErr w:type="gramEnd"/>
      <w:r w:rsidRPr="00615904">
        <w:rPr>
          <w:lang w:val="en-US"/>
        </w:rPr>
        <w:t>% against 10</w:t>
      </w:r>
      <w:r w:rsidR="008F75E7">
        <w:rPr>
          <w:lang w:val="en-US"/>
        </w:rPr>
        <w:t>,</w:t>
      </w:r>
      <w:r w:rsidRPr="00615904">
        <w:rPr>
          <w:lang w:val="en-US"/>
        </w:rPr>
        <w:t xml:space="preserve">0%). </w:t>
      </w:r>
    </w:p>
    <w:p w:rsidR="00AC59F8" w:rsidRPr="00615904" w:rsidRDefault="00AC59F8" w:rsidP="003F3640">
      <w:pPr>
        <w:ind w:firstLine="567"/>
        <w:jc w:val="both"/>
        <w:rPr>
          <w:lang w:val="en-US"/>
        </w:rPr>
      </w:pPr>
      <w:r w:rsidRPr="00615904">
        <w:rPr>
          <w:b/>
          <w:lang w:val="en-US"/>
        </w:rPr>
        <w:t xml:space="preserve">The number of the unemployed (by ILO methodology) </w:t>
      </w:r>
      <w:r w:rsidRPr="00615904">
        <w:rPr>
          <w:lang w:val="en-US"/>
        </w:rPr>
        <w:t>aged 15-70 in 201</w:t>
      </w:r>
      <w:r w:rsidR="003775D4">
        <w:rPr>
          <w:lang w:val="en-US"/>
        </w:rPr>
        <w:t>8</w:t>
      </w:r>
      <w:r w:rsidRPr="00615904">
        <w:rPr>
          <w:lang w:val="en-US"/>
        </w:rPr>
        <w:t xml:space="preserve"> as compared to 201</w:t>
      </w:r>
      <w:r w:rsidR="003775D4">
        <w:rPr>
          <w:lang w:val="en-US"/>
        </w:rPr>
        <w:t>7</w:t>
      </w:r>
      <w:r w:rsidRPr="00615904">
        <w:rPr>
          <w:lang w:val="en-US"/>
        </w:rPr>
        <w:t xml:space="preserve"> </w:t>
      </w:r>
      <w:r w:rsidR="003775D4">
        <w:rPr>
          <w:lang w:val="en-US"/>
        </w:rPr>
        <w:t>de</w:t>
      </w:r>
      <w:r w:rsidRPr="00615904">
        <w:rPr>
          <w:lang w:val="en-US"/>
        </w:rPr>
        <w:t xml:space="preserve">creased by </w:t>
      </w:r>
      <w:r w:rsidR="003775D4">
        <w:rPr>
          <w:lang w:val="en-US"/>
        </w:rPr>
        <w:t>7</w:t>
      </w:r>
      <w:r w:rsidR="008F75E7">
        <w:rPr>
          <w:lang w:val="en-US"/>
        </w:rPr>
        <w:t>,</w:t>
      </w:r>
      <w:r w:rsidR="003775D4">
        <w:rPr>
          <w:lang w:val="en-US"/>
        </w:rPr>
        <w:t>0</w:t>
      </w:r>
      <w:r w:rsidRPr="00615904">
        <w:rPr>
          <w:lang w:val="en-US"/>
        </w:rPr>
        <w:t>% and made up 1</w:t>
      </w:r>
      <w:r w:rsidR="008F75E7">
        <w:rPr>
          <w:lang w:val="en-US"/>
        </w:rPr>
        <w:t>,</w:t>
      </w:r>
      <w:r w:rsidR="003775D4">
        <w:rPr>
          <w:lang w:val="en-US"/>
        </w:rPr>
        <w:t>6</w:t>
      </w:r>
      <w:r w:rsidRPr="00615904">
        <w:rPr>
          <w:lang w:val="en-US"/>
        </w:rPr>
        <w:t xml:space="preserve"> million persons. </w:t>
      </w:r>
    </w:p>
    <w:p w:rsidR="00AC59F8" w:rsidRPr="00615904" w:rsidRDefault="00AC59F8" w:rsidP="003F3640">
      <w:pPr>
        <w:ind w:firstLine="567"/>
        <w:jc w:val="both"/>
        <w:rPr>
          <w:lang w:val="en-US"/>
        </w:rPr>
      </w:pPr>
      <w:r w:rsidRPr="00615904">
        <w:rPr>
          <w:lang w:val="en-US"/>
        </w:rPr>
        <w:t xml:space="preserve">Among the unemployed the two thirds were residents of urban </w:t>
      </w:r>
      <w:r w:rsidR="003775D4">
        <w:rPr>
          <w:lang w:val="en-US"/>
        </w:rPr>
        <w:t>area</w:t>
      </w:r>
      <w:r w:rsidR="009C4605" w:rsidRPr="00615904">
        <w:rPr>
          <w:lang w:val="en-US"/>
        </w:rPr>
        <w:t xml:space="preserve"> </w:t>
      </w:r>
      <w:r w:rsidRPr="00615904">
        <w:rPr>
          <w:lang w:val="en-US"/>
        </w:rPr>
        <w:t>(1</w:t>
      </w:r>
      <w:proofErr w:type="gramStart"/>
      <w:r w:rsidR="008F75E7">
        <w:rPr>
          <w:lang w:val="en-US"/>
        </w:rPr>
        <w:t>,</w:t>
      </w:r>
      <w:r w:rsidRPr="00615904">
        <w:rPr>
          <w:lang w:val="en-US"/>
        </w:rPr>
        <w:t>1</w:t>
      </w:r>
      <w:proofErr w:type="gramEnd"/>
      <w:r w:rsidRPr="00615904">
        <w:rPr>
          <w:lang w:val="en-US"/>
        </w:rPr>
        <w:t xml:space="preserve"> million persons), while the rest were the rural residents. The </w:t>
      </w:r>
      <w:r w:rsidR="003775D4">
        <w:rPr>
          <w:lang w:val="en-US"/>
        </w:rPr>
        <w:t>de</w:t>
      </w:r>
      <w:r w:rsidRPr="00615904">
        <w:rPr>
          <w:lang w:val="en-US"/>
        </w:rPr>
        <w:t xml:space="preserve">crease in the number of the unemployed population aged 15-70 was mainly due to the working age persons (by </w:t>
      </w:r>
      <w:r w:rsidR="00756F2E">
        <w:rPr>
          <w:lang w:val="en-US"/>
        </w:rPr>
        <w:t>7</w:t>
      </w:r>
      <w:proofErr w:type="gramStart"/>
      <w:r w:rsidR="008F75E7">
        <w:rPr>
          <w:lang w:val="en-US"/>
        </w:rPr>
        <w:t>,</w:t>
      </w:r>
      <w:r w:rsidR="00756F2E">
        <w:rPr>
          <w:lang w:val="en-US"/>
        </w:rPr>
        <w:t>1</w:t>
      </w:r>
      <w:proofErr w:type="gramEnd"/>
      <w:r w:rsidRPr="00615904">
        <w:rPr>
          <w:lang w:val="en-US"/>
        </w:rPr>
        <w:t xml:space="preserve">%). </w:t>
      </w:r>
    </w:p>
    <w:p w:rsidR="00AC59F8" w:rsidRPr="006238BC" w:rsidRDefault="00AC59F8" w:rsidP="003F3640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615904">
        <w:rPr>
          <w:lang w:val="en-US"/>
        </w:rPr>
        <w:t>Out of the total number of the unemployed 8</w:t>
      </w:r>
      <w:r w:rsidR="00464CE8">
        <w:rPr>
          <w:lang w:val="en-US"/>
        </w:rPr>
        <w:t>1</w:t>
      </w:r>
      <w:proofErr w:type="gramStart"/>
      <w:r w:rsidR="008F75E7">
        <w:rPr>
          <w:lang w:val="en-US"/>
        </w:rPr>
        <w:t>,</w:t>
      </w:r>
      <w:r w:rsidR="00464CE8">
        <w:rPr>
          <w:lang w:val="en-US"/>
        </w:rPr>
        <w:t>9</w:t>
      </w:r>
      <w:proofErr w:type="gramEnd"/>
      <w:r w:rsidRPr="00615904">
        <w:rPr>
          <w:lang w:val="en-US"/>
        </w:rPr>
        <w:t xml:space="preserve">% worked earlier while other </w:t>
      </w:r>
      <w:r w:rsidR="00756F2E">
        <w:rPr>
          <w:lang w:val="en-US"/>
        </w:rPr>
        <w:t>1</w:t>
      </w:r>
      <w:r w:rsidR="00464CE8">
        <w:rPr>
          <w:lang w:val="en-US"/>
        </w:rPr>
        <w:t>8</w:t>
      </w:r>
      <w:r w:rsidR="008F75E7">
        <w:rPr>
          <w:lang w:val="en-US"/>
        </w:rPr>
        <w:t>,</w:t>
      </w:r>
      <w:r w:rsidR="00756F2E">
        <w:rPr>
          <w:lang w:val="en-US"/>
        </w:rPr>
        <w:t>1% (</w:t>
      </w:r>
      <w:r w:rsidRPr="00615904">
        <w:rPr>
          <w:lang w:val="en-US"/>
        </w:rPr>
        <w:t>0</w:t>
      </w:r>
      <w:r w:rsidR="008F75E7">
        <w:rPr>
          <w:lang w:val="en-US"/>
        </w:rPr>
        <w:t>,</w:t>
      </w:r>
      <w:r w:rsidR="004446CA" w:rsidRPr="00615904">
        <w:rPr>
          <w:lang w:val="en-US"/>
        </w:rPr>
        <w:t>3</w:t>
      </w:r>
      <w:r w:rsidR="00777CA8">
        <w:rPr>
          <w:lang w:val="en-US"/>
        </w:rPr>
        <w:t> </w:t>
      </w:r>
      <w:r w:rsidRPr="00615904">
        <w:rPr>
          <w:lang w:val="en-US"/>
        </w:rPr>
        <w:t>million persons</w:t>
      </w:r>
      <w:r w:rsidR="00756F2E">
        <w:rPr>
          <w:lang w:val="en-US"/>
        </w:rPr>
        <w:t>)</w:t>
      </w:r>
      <w:r w:rsidRPr="00615904">
        <w:rPr>
          <w:lang w:val="en-US"/>
        </w:rPr>
        <w:t xml:space="preserve"> were looking for a job for the first time and did not have work experience. The latter category mainly included the young who were not employed after graduating from </w:t>
      </w:r>
      <w:r w:rsidRPr="00615904">
        <w:rPr>
          <w:lang w:val="en-US"/>
        </w:rPr>
        <w:lastRenderedPageBreak/>
        <w:t xml:space="preserve">educational institutions. </w:t>
      </w:r>
      <w:r w:rsidRPr="006238BC">
        <w:rPr>
          <w:lang w:val="en-US"/>
        </w:rPr>
        <w:t>Thus, among those unemployed in 201</w:t>
      </w:r>
      <w:r w:rsidR="00756F2E" w:rsidRPr="006238BC">
        <w:rPr>
          <w:lang w:val="en-US"/>
        </w:rPr>
        <w:t>8</w:t>
      </w:r>
      <w:r w:rsidRPr="006238BC">
        <w:rPr>
          <w:lang w:val="en-US"/>
        </w:rPr>
        <w:t xml:space="preserve">, a share of persons aged 15-24 composed </w:t>
      </w:r>
      <w:r w:rsidR="00756F2E" w:rsidRPr="006238BC">
        <w:rPr>
          <w:lang w:val="en-US"/>
        </w:rPr>
        <w:t>80</w:t>
      </w:r>
      <w:r w:rsidR="008F75E7" w:rsidRPr="006238BC">
        <w:rPr>
          <w:lang w:val="en-US"/>
        </w:rPr>
        <w:t>,</w:t>
      </w:r>
      <w:r w:rsidR="00756F2E" w:rsidRPr="006238BC">
        <w:rPr>
          <w:lang w:val="en-US"/>
        </w:rPr>
        <w:t>1</w:t>
      </w:r>
      <w:r w:rsidRPr="006238BC">
        <w:rPr>
          <w:lang w:val="en-US"/>
        </w:rPr>
        <w:t>%</w:t>
      </w:r>
      <w:r w:rsidR="00756F2E" w:rsidRPr="006238BC">
        <w:rPr>
          <w:lang w:val="en-US"/>
        </w:rPr>
        <w:t xml:space="preserve">, and among those aged </w:t>
      </w:r>
      <w:r w:rsidRPr="006238BC">
        <w:rPr>
          <w:lang w:val="en-US"/>
        </w:rPr>
        <w:t>25-</w:t>
      </w:r>
      <w:r w:rsidR="00756F2E" w:rsidRPr="006238BC">
        <w:rPr>
          <w:lang w:val="en-US"/>
        </w:rPr>
        <w:t>34</w:t>
      </w:r>
      <w:r w:rsidRPr="006238BC">
        <w:rPr>
          <w:lang w:val="en-US"/>
        </w:rPr>
        <w:t xml:space="preserve"> accounted for </w:t>
      </w:r>
      <w:r w:rsidR="00756F2E" w:rsidRPr="006238BC">
        <w:rPr>
          <w:lang w:val="en-US"/>
        </w:rPr>
        <w:t>19</w:t>
      </w:r>
      <w:r w:rsidR="008F75E7" w:rsidRPr="006238BC">
        <w:rPr>
          <w:lang w:val="en-US"/>
        </w:rPr>
        <w:t>,</w:t>
      </w:r>
      <w:r w:rsidR="00756F2E" w:rsidRPr="006238BC">
        <w:rPr>
          <w:lang w:val="en-US"/>
        </w:rPr>
        <w:t>9</w:t>
      </w:r>
      <w:r w:rsidR="004446CA" w:rsidRPr="006238BC">
        <w:rPr>
          <w:lang w:val="en-US"/>
        </w:rPr>
        <w:t xml:space="preserve">%.  </w:t>
      </w:r>
      <w:r w:rsidRPr="006238BC">
        <w:rPr>
          <w:lang w:val="en-US"/>
        </w:rPr>
        <w:t xml:space="preserve"> </w:t>
      </w:r>
    </w:p>
    <w:p w:rsidR="00851930" w:rsidRPr="00615904" w:rsidRDefault="00851930" w:rsidP="003F3640">
      <w:pPr>
        <w:autoSpaceDE w:val="0"/>
        <w:autoSpaceDN w:val="0"/>
        <w:adjustRightInd w:val="0"/>
        <w:ind w:firstLine="567"/>
        <w:jc w:val="both"/>
        <w:rPr>
          <w:bCs/>
          <w:lang w:val="en-US" w:eastAsia="uk-UA"/>
        </w:rPr>
      </w:pPr>
      <w:r w:rsidRPr="006238BC">
        <w:rPr>
          <w:b/>
          <w:bCs/>
          <w:lang w:val="en-US" w:eastAsia="uk-UA"/>
        </w:rPr>
        <w:t>Unemployment rate of the population aged 15-70 (by ILO methodology</w:t>
      </w:r>
      <w:bookmarkStart w:id="0" w:name="_Toc117677973"/>
      <w:bookmarkEnd w:id="0"/>
      <w:r w:rsidRPr="006238BC">
        <w:rPr>
          <w:b/>
          <w:bCs/>
          <w:lang w:val="en-US" w:eastAsia="uk-UA"/>
        </w:rPr>
        <w:t>)</w:t>
      </w:r>
      <w:r w:rsidRPr="006238BC">
        <w:rPr>
          <w:rFonts w:ascii="Calibri" w:eastAsia="Calibri" w:hAnsi="Calibri"/>
          <w:sz w:val="22"/>
          <w:szCs w:val="22"/>
          <w:lang w:val="en-US" w:eastAsia="en-US"/>
        </w:rPr>
        <w:t xml:space="preserve"> </w:t>
      </w:r>
      <w:r w:rsidRPr="006238BC">
        <w:rPr>
          <w:lang w:val="en-US"/>
        </w:rPr>
        <w:t>across Ukraine as compared to 201</w:t>
      </w:r>
      <w:r w:rsidR="00DD1F7C" w:rsidRPr="006238BC">
        <w:rPr>
          <w:lang w:val="en-US"/>
        </w:rPr>
        <w:t>7</w:t>
      </w:r>
      <w:r w:rsidRPr="006238BC">
        <w:rPr>
          <w:lang w:val="en-US"/>
        </w:rPr>
        <w:t xml:space="preserve"> </w:t>
      </w:r>
      <w:r w:rsidR="00DD1F7C" w:rsidRPr="006238BC">
        <w:rPr>
          <w:lang w:val="en-US"/>
        </w:rPr>
        <w:t>decreased</w:t>
      </w:r>
      <w:r w:rsidRPr="006238BC">
        <w:rPr>
          <w:lang w:val="en-US"/>
        </w:rPr>
        <w:t xml:space="preserve"> by 0</w:t>
      </w:r>
      <w:r w:rsidR="008F75E7" w:rsidRPr="006238BC">
        <w:rPr>
          <w:lang w:val="en-US"/>
        </w:rPr>
        <w:t>,</w:t>
      </w:r>
      <w:r w:rsidR="00DD1F7C" w:rsidRPr="006238BC">
        <w:rPr>
          <w:lang w:val="en-US"/>
        </w:rPr>
        <w:t>7</w:t>
      </w:r>
      <w:r w:rsidRPr="006238BC">
        <w:rPr>
          <w:lang w:val="en-US"/>
        </w:rPr>
        <w:t xml:space="preserve"> percent point and </w:t>
      </w:r>
      <w:r w:rsidR="00DD1F7C" w:rsidRPr="006238BC">
        <w:rPr>
          <w:lang w:val="en-US"/>
        </w:rPr>
        <w:t xml:space="preserve">in 2018 </w:t>
      </w:r>
      <w:r w:rsidRPr="006238BC">
        <w:rPr>
          <w:lang w:val="en-US"/>
        </w:rPr>
        <w:t xml:space="preserve">made up </w:t>
      </w:r>
      <w:r w:rsidR="00464CE8" w:rsidRPr="006238BC">
        <w:rPr>
          <w:lang w:val="en-US"/>
        </w:rPr>
        <w:t>8</w:t>
      </w:r>
      <w:r w:rsidR="008F75E7" w:rsidRPr="006238BC">
        <w:rPr>
          <w:lang w:val="en-US"/>
        </w:rPr>
        <w:t>,</w:t>
      </w:r>
      <w:r w:rsidR="00464CE8" w:rsidRPr="006238BC">
        <w:rPr>
          <w:lang w:val="en-US"/>
        </w:rPr>
        <w:t>8</w:t>
      </w:r>
      <w:r w:rsidRPr="006238BC">
        <w:rPr>
          <w:lang w:val="en-US"/>
        </w:rPr>
        <w:t>% of the economically active population at the mentioned age while among the working age population it was 9</w:t>
      </w:r>
      <w:r w:rsidR="008F75E7" w:rsidRPr="006238BC">
        <w:rPr>
          <w:lang w:val="en-US"/>
        </w:rPr>
        <w:t>,</w:t>
      </w:r>
      <w:r w:rsidR="00DD1F7C" w:rsidRPr="006238BC">
        <w:rPr>
          <w:lang w:val="en-US"/>
        </w:rPr>
        <w:t>1</w:t>
      </w:r>
      <w:r w:rsidRPr="006238BC">
        <w:rPr>
          <w:lang w:val="en-US"/>
        </w:rPr>
        <w:t>%.</w:t>
      </w:r>
    </w:p>
    <w:p w:rsidR="00851930" w:rsidRPr="00615904" w:rsidRDefault="00851930" w:rsidP="003F3640">
      <w:pPr>
        <w:autoSpaceDE w:val="0"/>
        <w:autoSpaceDN w:val="0"/>
        <w:adjustRightInd w:val="0"/>
        <w:ind w:firstLine="567"/>
        <w:jc w:val="both"/>
        <w:rPr>
          <w:bCs/>
          <w:lang w:val="en-US" w:eastAsia="uk-UA"/>
        </w:rPr>
      </w:pPr>
      <w:r w:rsidRPr="00615904">
        <w:rPr>
          <w:bCs/>
          <w:lang w:val="en-US" w:eastAsia="uk-UA"/>
        </w:rPr>
        <w:t>The relevant indicator among the EU countries (</w:t>
      </w:r>
      <w:r w:rsidR="00DD1F7C">
        <w:rPr>
          <w:bCs/>
          <w:lang w:val="en-US" w:eastAsia="uk-UA"/>
        </w:rPr>
        <w:t>6</w:t>
      </w:r>
      <w:proofErr w:type="gramStart"/>
      <w:r w:rsidR="008F75E7">
        <w:rPr>
          <w:bCs/>
          <w:lang w:val="en-US" w:eastAsia="uk-UA"/>
        </w:rPr>
        <w:t>,</w:t>
      </w:r>
      <w:r w:rsidR="00DD1F7C">
        <w:rPr>
          <w:bCs/>
          <w:lang w:val="en-US" w:eastAsia="uk-UA"/>
        </w:rPr>
        <w:t>8</w:t>
      </w:r>
      <w:proofErr w:type="gramEnd"/>
      <w:r w:rsidRPr="00615904">
        <w:rPr>
          <w:bCs/>
          <w:lang w:val="en-US" w:eastAsia="uk-UA"/>
        </w:rPr>
        <w:t xml:space="preserve">%) was lower than in Ukraine. </w:t>
      </w:r>
    </w:p>
    <w:p w:rsidR="00851930" w:rsidRPr="00615904" w:rsidRDefault="00851930" w:rsidP="003F3640">
      <w:pPr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  <w:lang w:val="en-US"/>
        </w:rPr>
      </w:pPr>
      <w:r w:rsidRPr="00615904">
        <w:rPr>
          <w:rFonts w:ascii="TimesNewRomanPSMT" w:hAnsi="TimesNewRomanPSMT" w:cs="TimesNewRomanPSMT"/>
          <w:lang w:val="en-US" w:eastAsia="uk-UA"/>
        </w:rPr>
        <w:t>Unemployment rate of the working age population (by ILO methodology</w:t>
      </w:r>
      <w:r w:rsidRPr="00615904">
        <w:rPr>
          <w:rFonts w:ascii="TimesNewRomanPSMT" w:hAnsi="TimesNewRomanPSMT" w:cs="TimesNewRomanPSMT"/>
          <w:b/>
          <w:lang w:val="en-US" w:eastAsia="uk-UA"/>
        </w:rPr>
        <w:t>)</w:t>
      </w:r>
      <w:r w:rsidRPr="00615904">
        <w:rPr>
          <w:rFonts w:ascii="TimesNewRomanPSMT" w:hAnsi="TimesNewRomanPSMT" w:cs="TimesNewRomanPSMT"/>
          <w:lang w:val="en-US" w:eastAsia="uk-UA"/>
        </w:rPr>
        <w:t xml:space="preserve"> 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surpassed </w:t>
      </w:r>
      <w:r w:rsidR="006511EA" w:rsidRPr="00615904">
        <w:rPr>
          <w:rFonts w:ascii="TimesNewRomanPSMT" w:hAnsi="TimesNewRomanPSMT" w:cs="TimesNewRomanPSMT"/>
          <w:bCs/>
          <w:lang w:val="en-US" w:eastAsia="uk-UA"/>
        </w:rPr>
        <w:t>by 4</w:t>
      </w:r>
      <w:r w:rsidR="008F75E7">
        <w:rPr>
          <w:rFonts w:ascii="TimesNewRomanPSMT" w:hAnsi="TimesNewRomanPSMT" w:cs="TimesNewRomanPSMT"/>
          <w:bCs/>
          <w:lang w:val="en-US" w:eastAsia="uk-UA"/>
        </w:rPr>
        <w:t>,</w:t>
      </w:r>
      <w:r w:rsidR="00DD1F7C">
        <w:rPr>
          <w:rFonts w:ascii="TimesNewRomanPSMT" w:hAnsi="TimesNewRomanPSMT" w:cs="TimesNewRomanPSMT"/>
          <w:bCs/>
          <w:lang w:val="en-US" w:eastAsia="uk-UA"/>
        </w:rPr>
        <w:t>8</w:t>
      </w:r>
      <w:r w:rsidR="006511EA" w:rsidRPr="00615904">
        <w:rPr>
          <w:rFonts w:ascii="TimesNewRomanPSMT" w:hAnsi="TimesNewRomanPSMT" w:cs="TimesNewRomanPSMT"/>
          <w:bCs/>
          <w:lang w:val="en-US" w:eastAsia="uk-UA"/>
        </w:rPr>
        <w:t xml:space="preserve"> times 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the registered unemployment rate </w:t>
      </w:r>
      <w:r w:rsidR="008C0DF3" w:rsidRPr="00615904">
        <w:rPr>
          <w:rFonts w:ascii="TimesNewRomanPSMT" w:hAnsi="TimesNewRomanPSMT" w:cs="TimesNewRomanPSMT"/>
          <w:bCs/>
          <w:lang w:val="en-US" w:eastAsia="uk-UA"/>
        </w:rPr>
        <w:t>which wa</w:t>
      </w:r>
      <w:r w:rsidRPr="00615904">
        <w:rPr>
          <w:rFonts w:ascii="TimesNewRomanPSMT" w:hAnsi="TimesNewRomanPSMT" w:cs="TimesNewRomanPSMT"/>
          <w:bCs/>
          <w:lang w:val="en-US" w:eastAsia="uk-UA"/>
        </w:rPr>
        <w:t>s calculated with respect to the economically active population of working age (for women by 3</w:t>
      </w:r>
      <w:r w:rsidR="008F75E7">
        <w:rPr>
          <w:rFonts w:ascii="TimesNewRomanPSMT" w:hAnsi="TimesNewRomanPSMT" w:cs="TimesNewRomanPSMT"/>
          <w:bCs/>
          <w:lang w:val="en-US" w:eastAsia="uk-UA"/>
        </w:rPr>
        <w:t>,</w:t>
      </w:r>
      <w:r w:rsidR="00DD1F7C">
        <w:rPr>
          <w:rFonts w:ascii="TimesNewRomanPSMT" w:hAnsi="TimesNewRomanPSMT" w:cs="TimesNewRomanPSMT"/>
          <w:bCs/>
          <w:lang w:val="en-US" w:eastAsia="uk-UA"/>
        </w:rPr>
        <w:t>5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 times, for men by 6</w:t>
      </w:r>
      <w:r w:rsidR="008F75E7">
        <w:rPr>
          <w:rFonts w:ascii="TimesNewRomanPSMT" w:hAnsi="TimesNewRomanPSMT" w:cs="TimesNewRomanPSMT"/>
          <w:bCs/>
          <w:lang w:val="en-US" w:eastAsia="uk-UA"/>
        </w:rPr>
        <w:t>,</w:t>
      </w:r>
      <w:r w:rsidR="00DD1F7C">
        <w:rPr>
          <w:rFonts w:ascii="TimesNewRomanPSMT" w:hAnsi="TimesNewRomanPSMT" w:cs="TimesNewRomanPSMT"/>
          <w:bCs/>
          <w:lang w:val="en-US" w:eastAsia="uk-UA"/>
        </w:rPr>
        <w:t>5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 times, for urban </w:t>
      </w:r>
      <w:r w:rsidR="00DD1F7C">
        <w:rPr>
          <w:rFonts w:ascii="TimesNewRomanPSMT" w:hAnsi="TimesNewRomanPSMT" w:cs="TimesNewRomanPSMT"/>
          <w:bCs/>
          <w:lang w:val="en-US" w:eastAsia="uk-UA"/>
        </w:rPr>
        <w:t>area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 by 5</w:t>
      </w:r>
      <w:r w:rsidR="008F75E7">
        <w:rPr>
          <w:rFonts w:ascii="TimesNewRomanPSMT" w:hAnsi="TimesNewRomanPSMT" w:cs="TimesNewRomanPSMT"/>
          <w:bCs/>
          <w:lang w:val="en-US" w:eastAsia="uk-UA"/>
        </w:rPr>
        <w:t>,</w:t>
      </w:r>
      <w:r w:rsidR="00DD1F7C">
        <w:rPr>
          <w:rFonts w:ascii="TimesNewRomanPSMT" w:hAnsi="TimesNewRomanPSMT" w:cs="TimesNewRomanPSMT"/>
          <w:bCs/>
          <w:lang w:val="en-US" w:eastAsia="uk-UA"/>
        </w:rPr>
        <w:t>9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 times, for rural area by 3</w:t>
      </w:r>
      <w:r w:rsidR="008F75E7">
        <w:rPr>
          <w:rFonts w:ascii="TimesNewRomanPSMT" w:hAnsi="TimesNewRomanPSMT" w:cs="TimesNewRomanPSMT"/>
          <w:bCs/>
          <w:lang w:val="en-US" w:eastAsia="uk-UA"/>
        </w:rPr>
        <w:t>,</w:t>
      </w:r>
      <w:r w:rsidRPr="00615904">
        <w:rPr>
          <w:rFonts w:ascii="TimesNewRomanPSMT" w:hAnsi="TimesNewRomanPSMT" w:cs="TimesNewRomanPSMT"/>
          <w:bCs/>
          <w:lang w:val="en-US" w:eastAsia="uk-UA"/>
        </w:rPr>
        <w:t>7 times)</w:t>
      </w:r>
      <w:r w:rsidR="00777CA8">
        <w:rPr>
          <w:rFonts w:ascii="TimesNewRomanPSMT" w:hAnsi="TimesNewRomanPSMT" w:cs="TimesNewRomanPSMT"/>
          <w:bCs/>
          <w:lang w:val="en-US" w:eastAsia="uk-UA"/>
        </w:rPr>
        <w:t>,</w:t>
      </w:r>
      <w:r w:rsidRPr="00615904">
        <w:rPr>
          <w:rFonts w:ascii="TimesNewRomanPSMT" w:hAnsi="TimesNewRomanPSMT" w:cs="TimesNewRomanPSMT"/>
          <w:bCs/>
          <w:lang w:val="en-US" w:eastAsia="uk-UA"/>
        </w:rPr>
        <w:t xml:space="preserve"> </w:t>
      </w:r>
      <w:r w:rsidRPr="00615904">
        <w:rPr>
          <w:rFonts w:ascii="TimesNewRomanPSMT" w:hAnsi="TimesNewRomanPSMT" w:cs="TimesNewRomanPSMT"/>
          <w:lang w:val="en-US" w:eastAsia="uk-UA"/>
        </w:rPr>
        <w:t>(D</w:t>
      </w:r>
      <w:r w:rsidRPr="00615904">
        <w:rPr>
          <w:rStyle w:val="notranslate"/>
          <w:color w:val="000000"/>
          <w:lang w:val="en-US"/>
        </w:rPr>
        <w:t>iagram 1</w:t>
      </w:r>
      <w:r w:rsidRPr="00615904">
        <w:rPr>
          <w:rFonts w:ascii="TimesNewRomanPSMT" w:hAnsi="TimesNewRomanPSMT" w:cs="TimesNewRomanPSMT"/>
          <w:lang w:val="en-US" w:eastAsia="uk-UA"/>
        </w:rPr>
        <w:t>).</w:t>
      </w:r>
    </w:p>
    <w:p w:rsidR="00851930" w:rsidRPr="00615904" w:rsidRDefault="00851930" w:rsidP="003F3640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7"/>
          <w:szCs w:val="27"/>
          <w:lang w:val="en-US"/>
        </w:rPr>
      </w:pPr>
      <w:r w:rsidRPr="00615904">
        <w:rPr>
          <w:rStyle w:val="notranslate"/>
          <w:color w:val="000000"/>
          <w:lang w:val="en-US"/>
        </w:rPr>
        <w:t>Diagram 1</w:t>
      </w:r>
    </w:p>
    <w:p w:rsidR="00851930" w:rsidRPr="00615904" w:rsidRDefault="00851930" w:rsidP="003F364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7"/>
          <w:szCs w:val="27"/>
          <w:lang w:val="en-US"/>
        </w:rPr>
      </w:pPr>
      <w:r w:rsidRPr="00615904">
        <w:rPr>
          <w:rStyle w:val="notranslate"/>
          <w:b/>
          <w:bCs/>
          <w:color w:val="000000"/>
          <w:lang w:val="en-US"/>
        </w:rPr>
        <w:t xml:space="preserve">Unemployment among </w:t>
      </w:r>
      <w:r w:rsidR="00D55C08" w:rsidRPr="00615904">
        <w:rPr>
          <w:rStyle w:val="notranslate"/>
          <w:b/>
          <w:bCs/>
          <w:color w:val="000000"/>
          <w:lang w:val="en-US"/>
        </w:rPr>
        <w:t xml:space="preserve">the </w:t>
      </w:r>
      <w:r w:rsidRPr="00615904">
        <w:rPr>
          <w:rStyle w:val="notranslate"/>
          <w:b/>
          <w:bCs/>
          <w:color w:val="000000"/>
          <w:lang w:val="en-US"/>
        </w:rPr>
        <w:t>economically active population of working age</w:t>
      </w:r>
    </w:p>
    <w:p w:rsidR="00851930" w:rsidRPr="00615904" w:rsidRDefault="00851930" w:rsidP="003F364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7"/>
          <w:szCs w:val="27"/>
          <w:lang w:val="en-US"/>
        </w:rPr>
      </w:pPr>
      <w:proofErr w:type="gramStart"/>
      <w:r w:rsidRPr="00615904">
        <w:rPr>
          <w:rStyle w:val="notranslate"/>
          <w:b/>
          <w:bCs/>
          <w:color w:val="000000"/>
          <w:lang w:val="en-US"/>
        </w:rPr>
        <w:t>by</w:t>
      </w:r>
      <w:proofErr w:type="gramEnd"/>
      <w:r w:rsidRPr="00615904">
        <w:rPr>
          <w:rStyle w:val="notranslate"/>
          <w:b/>
          <w:bCs/>
          <w:color w:val="000000"/>
          <w:lang w:val="en-US"/>
        </w:rPr>
        <w:t xml:space="preserve"> sex and place of residence, 201</w:t>
      </w:r>
      <w:r w:rsidR="00DD1F7C">
        <w:rPr>
          <w:rStyle w:val="notranslate"/>
          <w:b/>
          <w:bCs/>
          <w:color w:val="000000"/>
          <w:lang w:val="en-US"/>
        </w:rPr>
        <w:t>8</w:t>
      </w:r>
    </w:p>
    <w:p w:rsidR="00851930" w:rsidRPr="00DD1F7C" w:rsidRDefault="00851930" w:rsidP="003F364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  <w:lang w:val="en-US"/>
        </w:rPr>
      </w:pPr>
      <w:r w:rsidRPr="00DD1F7C">
        <w:rPr>
          <w:rStyle w:val="notranslate"/>
          <w:iCs/>
          <w:color w:val="000000"/>
          <w:sz w:val="20"/>
          <w:szCs w:val="20"/>
          <w:lang w:val="en-US"/>
        </w:rPr>
        <w:t xml:space="preserve">(% of </w:t>
      </w:r>
      <w:r w:rsidR="008C0DF3" w:rsidRPr="00DD1F7C">
        <w:rPr>
          <w:rStyle w:val="notranslate"/>
          <w:iCs/>
          <w:color w:val="000000"/>
          <w:sz w:val="20"/>
          <w:szCs w:val="20"/>
          <w:lang w:val="en-US"/>
        </w:rPr>
        <w:t xml:space="preserve">the </w:t>
      </w:r>
      <w:r w:rsidRPr="00DD1F7C">
        <w:rPr>
          <w:rStyle w:val="notranslate"/>
          <w:iCs/>
          <w:color w:val="000000"/>
          <w:sz w:val="20"/>
          <w:szCs w:val="20"/>
          <w:lang w:val="en-US"/>
        </w:rPr>
        <w:t>economically active population of working age)</w:t>
      </w:r>
    </w:p>
    <w:p w:rsidR="00851930" w:rsidRPr="00615904" w:rsidRDefault="004804CF" w:rsidP="00F45835">
      <w:pPr>
        <w:tabs>
          <w:tab w:val="left" w:pos="2977"/>
        </w:tabs>
        <w:autoSpaceDE w:val="0"/>
        <w:autoSpaceDN w:val="0"/>
        <w:adjustRightInd w:val="0"/>
        <w:jc w:val="both"/>
        <w:rPr>
          <w:bCs/>
          <w:lang w:val="en-US" w:eastAsia="uk-UA"/>
        </w:rPr>
      </w:pPr>
      <w:r w:rsidRPr="00615904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5940425" cy="2365084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E6126" w:rsidRPr="00A1293C" w:rsidRDefault="00651E2A" w:rsidP="00A1293C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A1293C">
        <w:rPr>
          <w:lang w:val="en-US"/>
        </w:rPr>
        <w:t>It should be noted that in 201</w:t>
      </w:r>
      <w:r w:rsidR="00D66879" w:rsidRPr="00A1293C">
        <w:rPr>
          <w:lang w:val="en-US"/>
        </w:rPr>
        <w:t>8</w:t>
      </w:r>
      <w:r w:rsidRPr="00A1293C">
        <w:rPr>
          <w:lang w:val="en-US"/>
        </w:rPr>
        <w:t xml:space="preserve"> as compared to 201</w:t>
      </w:r>
      <w:r w:rsidR="00D66879" w:rsidRPr="00A1293C">
        <w:rPr>
          <w:lang w:val="en-US"/>
        </w:rPr>
        <w:t>7</w:t>
      </w:r>
      <w:r w:rsidRPr="00A1293C">
        <w:rPr>
          <w:lang w:val="en-US"/>
        </w:rPr>
        <w:t xml:space="preserve">, in the composition of the unemployed by unemployment cause there was the increase in the share </w:t>
      </w:r>
      <w:r w:rsidR="00FE6126" w:rsidRPr="00A1293C">
        <w:rPr>
          <w:lang w:val="en-US"/>
        </w:rPr>
        <w:t xml:space="preserve">of those </w:t>
      </w:r>
      <w:r w:rsidR="00D66879" w:rsidRPr="00A1293C">
        <w:rPr>
          <w:lang w:val="en-US"/>
        </w:rPr>
        <w:t>dismissed through own will according to the agreement with the parties (by 3</w:t>
      </w:r>
      <w:proofErr w:type="gramStart"/>
      <w:r w:rsidR="008F75E7">
        <w:rPr>
          <w:lang w:val="en-US"/>
        </w:rPr>
        <w:t>,</w:t>
      </w:r>
      <w:r w:rsidR="00D66879" w:rsidRPr="00A1293C">
        <w:rPr>
          <w:lang w:val="en-US"/>
        </w:rPr>
        <w:t>5</w:t>
      </w:r>
      <w:proofErr w:type="gramEnd"/>
      <w:r w:rsidR="00D66879" w:rsidRPr="00A1293C">
        <w:rPr>
          <w:lang w:val="en-US"/>
        </w:rPr>
        <w:t xml:space="preserve"> percent point), </w:t>
      </w:r>
      <w:r w:rsidR="00FE6126" w:rsidRPr="00A1293C">
        <w:rPr>
          <w:lang w:val="en-US"/>
        </w:rPr>
        <w:t>the dismissed due to end of contract term or under the labour treaty (by 1</w:t>
      </w:r>
      <w:r w:rsidR="008F75E7">
        <w:rPr>
          <w:lang w:val="en-US"/>
        </w:rPr>
        <w:t>,</w:t>
      </w:r>
      <w:r w:rsidR="00FE6126" w:rsidRPr="00A1293C">
        <w:rPr>
          <w:lang w:val="en-US"/>
        </w:rPr>
        <w:t xml:space="preserve">3 percent point), </w:t>
      </w:r>
      <w:r w:rsidR="00FE6126" w:rsidRPr="00A1293C">
        <w:rPr>
          <w:lang w:val="en-US" w:eastAsia="uk-UA"/>
        </w:rPr>
        <w:t>those demobilized from military service (by 0</w:t>
      </w:r>
      <w:r w:rsidR="008F75E7">
        <w:rPr>
          <w:lang w:val="en-US" w:eastAsia="uk-UA"/>
        </w:rPr>
        <w:t>,</w:t>
      </w:r>
      <w:r w:rsidR="00FE6126" w:rsidRPr="00A1293C">
        <w:rPr>
          <w:lang w:val="en-US" w:eastAsia="uk-UA"/>
        </w:rPr>
        <w:t>2 percent point) and others (by 1</w:t>
      </w:r>
      <w:r w:rsidR="008F75E7">
        <w:rPr>
          <w:lang w:val="en-US" w:eastAsia="uk-UA"/>
        </w:rPr>
        <w:t>,</w:t>
      </w:r>
      <w:r w:rsidR="00EA04F4">
        <w:rPr>
          <w:lang w:val="uk-UA" w:eastAsia="uk-UA"/>
        </w:rPr>
        <w:t>7</w:t>
      </w:r>
      <w:r w:rsidR="00FE6126" w:rsidRPr="00A1293C">
        <w:rPr>
          <w:lang w:val="en-US" w:eastAsia="uk-UA"/>
        </w:rPr>
        <w:t xml:space="preserve"> </w:t>
      </w:r>
      <w:r w:rsidR="00FE6126" w:rsidRPr="00A1293C">
        <w:rPr>
          <w:lang w:val="en-US"/>
        </w:rPr>
        <w:t>percent point</w:t>
      </w:r>
      <w:r w:rsidR="00FE6126" w:rsidRPr="00A1293C">
        <w:rPr>
          <w:lang w:val="en-US" w:eastAsia="uk-UA"/>
        </w:rPr>
        <w:t>). At the same time there was the decrease in the share of the dismissed due to economic reasons (by 2</w:t>
      </w:r>
      <w:r w:rsidR="008F75E7">
        <w:rPr>
          <w:lang w:val="en-US" w:eastAsia="uk-UA"/>
        </w:rPr>
        <w:t>,</w:t>
      </w:r>
      <w:r w:rsidR="00FE6126" w:rsidRPr="00A1293C">
        <w:rPr>
          <w:lang w:val="en-US" w:eastAsia="uk-UA"/>
        </w:rPr>
        <w:t xml:space="preserve">5 percent point), not placed in a job after graduating from general educational and tertiary educational institutions (by </w:t>
      </w:r>
      <w:r w:rsidR="00A1293C" w:rsidRPr="00A1293C">
        <w:rPr>
          <w:lang w:val="en-US" w:eastAsia="uk-UA"/>
        </w:rPr>
        <w:t>2</w:t>
      </w:r>
      <w:r w:rsidR="008F75E7">
        <w:rPr>
          <w:lang w:val="en-US" w:eastAsia="uk-UA"/>
        </w:rPr>
        <w:t>,</w:t>
      </w:r>
      <w:r w:rsidR="00A1293C" w:rsidRPr="00A1293C">
        <w:rPr>
          <w:lang w:val="en-US" w:eastAsia="uk-UA"/>
        </w:rPr>
        <w:t>4</w:t>
      </w:r>
      <w:r w:rsidR="00FE6126" w:rsidRPr="00A1293C">
        <w:rPr>
          <w:lang w:val="en-US" w:eastAsia="uk-UA"/>
        </w:rPr>
        <w:t xml:space="preserve"> percent point),</w:t>
      </w:r>
      <w:r w:rsidR="00A1293C" w:rsidRPr="00A1293C">
        <w:rPr>
          <w:lang w:val="en-US" w:eastAsia="uk-UA"/>
        </w:rPr>
        <w:t xml:space="preserve"> the dismissed due to t</w:t>
      </w:r>
      <w:r w:rsidR="00EA04F4">
        <w:rPr>
          <w:lang w:val="en-US" w:eastAsia="uk-UA"/>
        </w:rPr>
        <w:t>he health status,</w:t>
      </w:r>
      <w:r w:rsidR="0098068F">
        <w:rPr>
          <w:lang w:val="en-US" w:eastAsia="uk-UA"/>
        </w:rPr>
        <w:t xml:space="preserve"> </w:t>
      </w:r>
      <w:r w:rsidR="00EA04F4">
        <w:rPr>
          <w:lang w:val="en-US" w:eastAsia="uk-UA"/>
        </w:rPr>
        <w:t>pension (by 0</w:t>
      </w:r>
      <w:r w:rsidR="008F75E7">
        <w:rPr>
          <w:lang w:val="en-US" w:eastAsia="uk-UA"/>
        </w:rPr>
        <w:t>,</w:t>
      </w:r>
      <w:r w:rsidR="00EA04F4">
        <w:rPr>
          <w:lang w:val="uk-UA" w:eastAsia="uk-UA"/>
        </w:rPr>
        <w:t>9</w:t>
      </w:r>
      <w:r w:rsidR="00A1293C" w:rsidRPr="00A1293C">
        <w:rPr>
          <w:lang w:val="en-US" w:eastAsia="uk-UA"/>
        </w:rPr>
        <w:t xml:space="preserve"> percent point), </w:t>
      </w:r>
      <w:r w:rsidR="00A1293C" w:rsidRPr="00A1293C">
        <w:rPr>
          <w:lang w:val="en-US"/>
        </w:rPr>
        <w:t>those who had seasonal work (0</w:t>
      </w:r>
      <w:r w:rsidR="008F75E7">
        <w:rPr>
          <w:lang w:val="en-US"/>
        </w:rPr>
        <w:t>,</w:t>
      </w:r>
      <w:r w:rsidR="00A1293C" w:rsidRPr="00A1293C">
        <w:rPr>
          <w:lang w:val="en-US"/>
        </w:rPr>
        <w:t xml:space="preserve">7 percent point) and </w:t>
      </w:r>
      <w:r w:rsidR="00A1293C" w:rsidRPr="00A1293C">
        <w:rPr>
          <w:lang w:val="en-US" w:eastAsia="uk-UA"/>
        </w:rPr>
        <w:t>not employed due to performance of household (family) responsibilities (by 0</w:t>
      </w:r>
      <w:r w:rsidR="008F75E7">
        <w:rPr>
          <w:lang w:val="en-US" w:eastAsia="uk-UA"/>
        </w:rPr>
        <w:t>,</w:t>
      </w:r>
      <w:r w:rsidR="00A1293C">
        <w:rPr>
          <w:lang w:val="en-US" w:eastAsia="uk-UA"/>
        </w:rPr>
        <w:t>2</w:t>
      </w:r>
      <w:r w:rsidR="00A1293C" w:rsidRPr="00A1293C">
        <w:rPr>
          <w:lang w:val="en-US" w:eastAsia="uk-UA"/>
        </w:rPr>
        <w:t xml:space="preserve"> percent point)</w:t>
      </w:r>
      <w:r w:rsidR="00A1293C">
        <w:rPr>
          <w:lang w:val="en-US" w:eastAsia="uk-UA"/>
        </w:rPr>
        <w:t>.</w:t>
      </w:r>
    </w:p>
    <w:p w:rsidR="006511EA" w:rsidRPr="006238BC" w:rsidRDefault="006511EA" w:rsidP="00A6394B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6238BC">
        <w:rPr>
          <w:lang w:val="en-US"/>
        </w:rPr>
        <w:t>In the composition of the unemployed by duration of job search in 201</w:t>
      </w:r>
      <w:r w:rsidR="00682F1F" w:rsidRPr="006238BC">
        <w:rPr>
          <w:lang w:val="en-US"/>
        </w:rPr>
        <w:t>8</w:t>
      </w:r>
      <w:r w:rsidRPr="006238BC">
        <w:rPr>
          <w:lang w:val="en-US"/>
        </w:rPr>
        <w:t xml:space="preserve"> as compared to 201</w:t>
      </w:r>
      <w:r w:rsidR="00682F1F" w:rsidRPr="006238BC">
        <w:rPr>
          <w:lang w:val="en-US"/>
        </w:rPr>
        <w:t>7</w:t>
      </w:r>
      <w:r w:rsidRPr="006238BC">
        <w:rPr>
          <w:lang w:val="en-US"/>
        </w:rPr>
        <w:t xml:space="preserve">, there was the reduction in the share of persons who looked for a job </w:t>
      </w:r>
      <w:r w:rsidR="00682F1F" w:rsidRPr="006238BC">
        <w:rPr>
          <w:lang w:val="en-US"/>
        </w:rPr>
        <w:t>12</w:t>
      </w:r>
      <w:r w:rsidRPr="006238BC">
        <w:rPr>
          <w:lang w:val="en-US"/>
        </w:rPr>
        <w:t xml:space="preserve"> </w:t>
      </w:r>
      <w:r w:rsidR="00EA04F4" w:rsidRPr="006238BC">
        <w:rPr>
          <w:lang w:val="en-US"/>
        </w:rPr>
        <w:t xml:space="preserve">and more </w:t>
      </w:r>
      <w:r w:rsidRPr="006238BC">
        <w:rPr>
          <w:lang w:val="en-US"/>
        </w:rPr>
        <w:t xml:space="preserve">months (by </w:t>
      </w:r>
      <w:r w:rsidR="00A6394B" w:rsidRPr="006238BC">
        <w:rPr>
          <w:lang w:val="en-US"/>
        </w:rPr>
        <w:t>5</w:t>
      </w:r>
      <w:r w:rsidR="008F75E7" w:rsidRPr="006238BC">
        <w:rPr>
          <w:lang w:val="en-US"/>
        </w:rPr>
        <w:t>,</w:t>
      </w:r>
      <w:r w:rsidR="00A6394B" w:rsidRPr="006238BC">
        <w:rPr>
          <w:lang w:val="en-US"/>
        </w:rPr>
        <w:t>1</w:t>
      </w:r>
      <w:r w:rsidRPr="006238BC">
        <w:rPr>
          <w:lang w:val="en-US"/>
        </w:rPr>
        <w:t xml:space="preserve"> percent point)</w:t>
      </w:r>
      <w:r w:rsidR="00A6394B" w:rsidRPr="006238BC">
        <w:rPr>
          <w:lang w:val="en-US"/>
        </w:rPr>
        <w:t>,</w:t>
      </w:r>
      <w:r w:rsidR="00682F1F" w:rsidRPr="006238BC">
        <w:rPr>
          <w:lang w:val="en-US"/>
        </w:rPr>
        <w:t xml:space="preserve"> from </w:t>
      </w:r>
      <w:r w:rsidR="00A6394B" w:rsidRPr="006238BC">
        <w:rPr>
          <w:lang w:val="en-US"/>
        </w:rPr>
        <w:t>6</w:t>
      </w:r>
      <w:r w:rsidR="00682F1F" w:rsidRPr="006238BC">
        <w:rPr>
          <w:lang w:val="en-US"/>
        </w:rPr>
        <w:t xml:space="preserve"> to </w:t>
      </w:r>
      <w:r w:rsidR="00A6394B" w:rsidRPr="006238BC">
        <w:rPr>
          <w:lang w:val="en-US"/>
        </w:rPr>
        <w:t>12</w:t>
      </w:r>
      <w:r w:rsidR="00682F1F" w:rsidRPr="006238BC">
        <w:rPr>
          <w:lang w:val="en-US"/>
        </w:rPr>
        <w:t xml:space="preserve"> months (by </w:t>
      </w:r>
      <w:r w:rsidR="00A6394B" w:rsidRPr="006238BC">
        <w:rPr>
          <w:lang w:val="en-US"/>
        </w:rPr>
        <w:t>0</w:t>
      </w:r>
      <w:r w:rsidR="008F75E7" w:rsidRPr="006238BC">
        <w:rPr>
          <w:lang w:val="en-US"/>
        </w:rPr>
        <w:t>,</w:t>
      </w:r>
      <w:r w:rsidR="00A6394B" w:rsidRPr="006238BC">
        <w:rPr>
          <w:lang w:val="en-US"/>
        </w:rPr>
        <w:t>8</w:t>
      </w:r>
      <w:r w:rsidR="00682F1F" w:rsidRPr="006238BC">
        <w:rPr>
          <w:lang w:val="en-US"/>
        </w:rPr>
        <w:t xml:space="preserve"> percent point)</w:t>
      </w:r>
      <w:r w:rsidR="00A6394B" w:rsidRPr="006238BC">
        <w:rPr>
          <w:lang w:val="en-US"/>
        </w:rPr>
        <w:t xml:space="preserve"> and </w:t>
      </w:r>
      <w:r w:rsidR="00A6394B" w:rsidRPr="006238BC">
        <w:rPr>
          <w:sz w:val="22"/>
          <w:szCs w:val="22"/>
          <w:lang w:val="en-US" w:eastAsia="uk-UA"/>
        </w:rPr>
        <w:t>to 1 to month</w:t>
      </w:r>
      <w:r w:rsidRPr="006238BC">
        <w:rPr>
          <w:lang w:val="en-US"/>
        </w:rPr>
        <w:t xml:space="preserve"> </w:t>
      </w:r>
      <w:r w:rsidR="00A6394B" w:rsidRPr="006238BC">
        <w:rPr>
          <w:lang w:val="en-US"/>
        </w:rPr>
        <w:t>(by 0</w:t>
      </w:r>
      <w:r w:rsidR="008F75E7" w:rsidRPr="006238BC">
        <w:rPr>
          <w:lang w:val="en-US"/>
        </w:rPr>
        <w:t>,</w:t>
      </w:r>
      <w:r w:rsidR="00A6394B" w:rsidRPr="006238BC">
        <w:rPr>
          <w:lang w:val="en-US"/>
        </w:rPr>
        <w:t>3 percent point).</w:t>
      </w:r>
    </w:p>
    <w:p w:rsidR="006511EA" w:rsidRPr="00615904" w:rsidRDefault="006511EA" w:rsidP="003F3640">
      <w:pPr>
        <w:ind w:firstLine="567"/>
        <w:jc w:val="both"/>
        <w:rPr>
          <w:lang w:val="en-US"/>
        </w:rPr>
      </w:pPr>
      <w:r w:rsidRPr="006238BC">
        <w:rPr>
          <w:lang w:val="en-US"/>
        </w:rPr>
        <w:t>Moreover, increase</w:t>
      </w:r>
      <w:r w:rsidR="00ED14FA" w:rsidRPr="006238BC">
        <w:rPr>
          <w:lang w:val="en-US"/>
        </w:rPr>
        <w:t>d</w:t>
      </w:r>
      <w:r w:rsidRPr="006238BC">
        <w:rPr>
          <w:lang w:val="en-US"/>
        </w:rPr>
        <w:t xml:space="preserve"> in the share of persons who looked for a job </w:t>
      </w:r>
      <w:r w:rsidR="00ED14FA" w:rsidRPr="006238BC">
        <w:rPr>
          <w:lang w:val="en-US"/>
        </w:rPr>
        <w:t>from</w:t>
      </w:r>
      <w:r w:rsidRPr="006238BC">
        <w:rPr>
          <w:lang w:val="en-US"/>
        </w:rPr>
        <w:t xml:space="preserve"> </w:t>
      </w:r>
      <w:r w:rsidR="00ED14FA" w:rsidRPr="006238BC">
        <w:rPr>
          <w:lang w:val="en-US"/>
        </w:rPr>
        <w:t>3</w:t>
      </w:r>
      <w:r w:rsidRPr="006238BC">
        <w:rPr>
          <w:lang w:val="en-US"/>
        </w:rPr>
        <w:t xml:space="preserve"> to</w:t>
      </w:r>
      <w:r w:rsidR="00ED14FA" w:rsidRPr="006238BC">
        <w:rPr>
          <w:lang w:val="en-US"/>
        </w:rPr>
        <w:t xml:space="preserve"> 6</w:t>
      </w:r>
      <w:r w:rsidR="00C64C99" w:rsidRPr="006238BC">
        <w:rPr>
          <w:lang w:val="en-US"/>
        </w:rPr>
        <w:t xml:space="preserve"> month (by </w:t>
      </w:r>
      <w:r w:rsidR="00ED14FA" w:rsidRPr="006238BC">
        <w:rPr>
          <w:lang w:val="en-US"/>
        </w:rPr>
        <w:t>3</w:t>
      </w:r>
      <w:proofErr w:type="gramStart"/>
      <w:r w:rsidR="008F75E7" w:rsidRPr="006238BC">
        <w:rPr>
          <w:lang w:val="en-US"/>
        </w:rPr>
        <w:t>,</w:t>
      </w:r>
      <w:r w:rsidR="00C64C99" w:rsidRPr="006238BC">
        <w:rPr>
          <w:lang w:val="en-US"/>
        </w:rPr>
        <w:t>5</w:t>
      </w:r>
      <w:proofErr w:type="gramEnd"/>
      <w:r w:rsidR="00C64C99" w:rsidRPr="006238BC">
        <w:rPr>
          <w:lang w:val="en-US"/>
        </w:rPr>
        <w:t xml:space="preserve"> percent point)</w:t>
      </w:r>
      <w:r w:rsidRPr="006238BC">
        <w:rPr>
          <w:lang w:val="en-US"/>
        </w:rPr>
        <w:t xml:space="preserve"> </w:t>
      </w:r>
      <w:r w:rsidR="00C64C99" w:rsidRPr="006238BC">
        <w:rPr>
          <w:lang w:val="en-US"/>
        </w:rPr>
        <w:t xml:space="preserve">and </w:t>
      </w:r>
      <w:r w:rsidR="00ED14FA" w:rsidRPr="006238BC">
        <w:rPr>
          <w:lang w:val="en-US"/>
        </w:rPr>
        <w:t>from 1 to 3</w:t>
      </w:r>
      <w:r w:rsidRPr="006238BC">
        <w:rPr>
          <w:lang w:val="en-US"/>
        </w:rPr>
        <w:t xml:space="preserve"> months </w:t>
      </w:r>
      <w:r w:rsidR="00C64C99" w:rsidRPr="006238BC">
        <w:rPr>
          <w:lang w:val="en-US"/>
        </w:rPr>
        <w:t xml:space="preserve">(by </w:t>
      </w:r>
      <w:r w:rsidR="00ED14FA" w:rsidRPr="006238BC">
        <w:rPr>
          <w:lang w:val="en-US"/>
        </w:rPr>
        <w:t>2</w:t>
      </w:r>
      <w:r w:rsidR="008F75E7" w:rsidRPr="006238BC">
        <w:rPr>
          <w:lang w:val="en-US"/>
        </w:rPr>
        <w:t>,</w:t>
      </w:r>
      <w:r w:rsidR="00ED14FA" w:rsidRPr="006238BC">
        <w:rPr>
          <w:lang w:val="en-US"/>
        </w:rPr>
        <w:t>7</w:t>
      </w:r>
      <w:r w:rsidR="00C64C99" w:rsidRPr="006238BC">
        <w:rPr>
          <w:lang w:val="en-US"/>
        </w:rPr>
        <w:t xml:space="preserve"> percent point)</w:t>
      </w:r>
      <w:r w:rsidRPr="006238BC">
        <w:rPr>
          <w:lang w:val="en-US"/>
        </w:rPr>
        <w:t xml:space="preserve">. The average duration of unemployment (by ILO methodology) </w:t>
      </w:r>
      <w:r w:rsidR="00ED14FA" w:rsidRPr="006238BC">
        <w:rPr>
          <w:lang w:val="en-US"/>
        </w:rPr>
        <w:t>compared to 2017 decreased also in 2018</w:t>
      </w:r>
      <w:r w:rsidRPr="006238BC">
        <w:rPr>
          <w:lang w:val="en-US"/>
        </w:rPr>
        <w:t xml:space="preserve"> was </w:t>
      </w:r>
      <w:r w:rsidR="00ED14FA" w:rsidRPr="006238BC">
        <w:rPr>
          <w:lang w:val="en-US"/>
        </w:rPr>
        <w:t>6</w:t>
      </w:r>
      <w:r w:rsidRPr="006238BC">
        <w:rPr>
          <w:lang w:val="en-US"/>
        </w:rPr>
        <w:t xml:space="preserve"> months.</w:t>
      </w:r>
      <w:r w:rsidRPr="00615904">
        <w:rPr>
          <w:lang w:val="en-US"/>
        </w:rPr>
        <w:t xml:space="preserve"> </w:t>
      </w:r>
    </w:p>
    <w:p w:rsidR="006511EA" w:rsidRPr="00615904" w:rsidRDefault="006511EA" w:rsidP="003F364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en-US"/>
        </w:rPr>
      </w:pPr>
      <w:r w:rsidRPr="00615904">
        <w:rPr>
          <w:b/>
          <w:color w:val="000000"/>
          <w:lang w:val="en-US"/>
        </w:rPr>
        <w:t xml:space="preserve">The number of economically inactive population </w:t>
      </w:r>
      <w:r w:rsidRPr="00615904">
        <w:rPr>
          <w:lang w:val="en-US"/>
        </w:rPr>
        <w:t>aged 15-70 in 201</w:t>
      </w:r>
      <w:r w:rsidR="0096165A">
        <w:rPr>
          <w:lang w:val="en-US"/>
        </w:rPr>
        <w:t>8</w:t>
      </w:r>
      <w:r w:rsidRPr="00615904">
        <w:rPr>
          <w:lang w:val="en-US"/>
        </w:rPr>
        <w:t xml:space="preserve"> comprised 10</w:t>
      </w:r>
      <w:proofErr w:type="gramStart"/>
      <w:r w:rsidR="008F75E7">
        <w:rPr>
          <w:lang w:val="en-US"/>
        </w:rPr>
        <w:t>,</w:t>
      </w:r>
      <w:r w:rsidR="00881F57">
        <w:rPr>
          <w:lang w:val="en-US"/>
        </w:rPr>
        <w:t>7</w:t>
      </w:r>
      <w:proofErr w:type="gramEnd"/>
      <w:r w:rsidRPr="00615904">
        <w:rPr>
          <w:lang w:val="en-US"/>
        </w:rPr>
        <w:t xml:space="preserve"> million persons or more than the third of the total population at this age. Every second of the economically inactive was a pensioner, every fifth was a pupil</w:t>
      </w:r>
      <w:r w:rsidR="00881F57">
        <w:rPr>
          <w:lang w:val="en-US"/>
        </w:rPr>
        <w:t>,</w:t>
      </w:r>
      <w:r w:rsidRPr="00615904">
        <w:rPr>
          <w:lang w:val="en-US"/>
        </w:rPr>
        <w:t xml:space="preserve"> student or performed household (family) responsibilities. </w:t>
      </w:r>
      <w:r w:rsidRPr="00615904">
        <w:rPr>
          <w:color w:val="000000"/>
          <w:lang w:val="en-US"/>
        </w:rPr>
        <w:t xml:space="preserve">  </w:t>
      </w:r>
    </w:p>
    <w:p w:rsidR="006511EA" w:rsidRPr="00615904" w:rsidRDefault="006511EA" w:rsidP="003F3640">
      <w:pPr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  <w:lang w:val="en-US"/>
        </w:rPr>
      </w:pPr>
      <w:r w:rsidRPr="00615904">
        <w:rPr>
          <w:lang w:val="en-US"/>
        </w:rPr>
        <w:t>The abovementioned category of persons includes</w:t>
      </w:r>
      <w:r w:rsidR="005614FE" w:rsidRPr="00615904">
        <w:rPr>
          <w:lang w:val="en-US"/>
        </w:rPr>
        <w:t xml:space="preserve"> those who were looking for a job but were not ready to go to it within the next two weeks and </w:t>
      </w:r>
      <w:r w:rsidRPr="00615904">
        <w:rPr>
          <w:lang w:val="en-US"/>
        </w:rPr>
        <w:t>those who did not know where and how to look for a job and were sure that there is no suitable job.</w:t>
      </w:r>
      <w:r w:rsidR="00C70A05" w:rsidRPr="00615904">
        <w:rPr>
          <w:lang w:val="en-US"/>
        </w:rPr>
        <w:t xml:space="preserve"> Such citizens, provided they could have a favorable situation, could offer their labour force in the labor market and relate to the potential </w:t>
      </w:r>
      <w:r w:rsidR="00C70A05" w:rsidRPr="00615904">
        <w:rPr>
          <w:lang w:val="en-US"/>
        </w:rPr>
        <w:lastRenderedPageBreak/>
        <w:t>labour force.</w:t>
      </w:r>
      <w:r w:rsidRPr="00615904">
        <w:rPr>
          <w:lang w:val="en-US"/>
        </w:rPr>
        <w:t xml:space="preserve"> </w:t>
      </w:r>
      <w:r w:rsidR="00C70A05" w:rsidRPr="00615904">
        <w:rPr>
          <w:lang w:val="en"/>
        </w:rPr>
        <w:t>So, in 201</w:t>
      </w:r>
      <w:r w:rsidR="00881F57">
        <w:rPr>
          <w:lang w:val="en"/>
        </w:rPr>
        <w:t>8</w:t>
      </w:r>
      <w:r w:rsidR="00C70A05" w:rsidRPr="00615904">
        <w:rPr>
          <w:lang w:val="en"/>
        </w:rPr>
        <w:t xml:space="preserve"> the number of potential labour force among the economically inactive </w:t>
      </w:r>
      <w:r w:rsidR="00881F57">
        <w:rPr>
          <w:lang w:val="en"/>
        </w:rPr>
        <w:t>population was 14</w:t>
      </w:r>
      <w:r w:rsidR="00C70A05" w:rsidRPr="00615904">
        <w:rPr>
          <w:lang w:val="en"/>
        </w:rPr>
        <w:t>1</w:t>
      </w:r>
      <w:proofErr w:type="gramStart"/>
      <w:r w:rsidR="008F75E7">
        <w:rPr>
          <w:lang w:val="en"/>
        </w:rPr>
        <w:t>,</w:t>
      </w:r>
      <w:r w:rsidR="00881F57">
        <w:rPr>
          <w:lang w:val="en"/>
        </w:rPr>
        <w:t>7</w:t>
      </w:r>
      <w:proofErr w:type="gramEnd"/>
      <w:r w:rsidR="00C70A05" w:rsidRPr="00615904">
        <w:rPr>
          <w:lang w:val="en"/>
        </w:rPr>
        <w:t xml:space="preserve"> thousand persons, or 1</w:t>
      </w:r>
      <w:r w:rsidR="008F75E7">
        <w:rPr>
          <w:lang w:val="en"/>
        </w:rPr>
        <w:t>,</w:t>
      </w:r>
      <w:r w:rsidR="00881F57">
        <w:rPr>
          <w:lang w:val="en"/>
        </w:rPr>
        <w:t>3</w:t>
      </w:r>
      <w:r w:rsidR="00C70A05" w:rsidRPr="00615904">
        <w:rPr>
          <w:lang w:val="en"/>
        </w:rPr>
        <w:t>% (in 201</w:t>
      </w:r>
      <w:r w:rsidR="00881F57">
        <w:rPr>
          <w:lang w:val="en"/>
        </w:rPr>
        <w:t>7</w:t>
      </w:r>
      <w:r w:rsidR="00C70A05" w:rsidRPr="00615904">
        <w:rPr>
          <w:lang w:val="en"/>
        </w:rPr>
        <w:t xml:space="preserve"> – </w:t>
      </w:r>
      <w:r w:rsidR="00881F57">
        <w:rPr>
          <w:lang w:val="en"/>
        </w:rPr>
        <w:t>171</w:t>
      </w:r>
      <w:r w:rsidR="008F75E7">
        <w:rPr>
          <w:lang w:val="en"/>
        </w:rPr>
        <w:t>,</w:t>
      </w:r>
      <w:r w:rsidR="00881F57">
        <w:rPr>
          <w:lang w:val="en"/>
        </w:rPr>
        <w:t>2</w:t>
      </w:r>
      <w:r w:rsidR="00C70A05" w:rsidRPr="00615904">
        <w:rPr>
          <w:lang w:val="en"/>
        </w:rPr>
        <w:t xml:space="preserve"> thousand persons, or 1</w:t>
      </w:r>
      <w:r w:rsidR="008F75E7">
        <w:rPr>
          <w:lang w:val="en"/>
        </w:rPr>
        <w:t>,</w:t>
      </w:r>
      <w:r w:rsidR="00881F57">
        <w:rPr>
          <w:lang w:val="en"/>
        </w:rPr>
        <w:t>6</w:t>
      </w:r>
      <w:r w:rsidR="00C70A05" w:rsidRPr="00615904">
        <w:rPr>
          <w:lang w:val="en"/>
        </w:rPr>
        <w:t xml:space="preserve">%). </w:t>
      </w:r>
      <w:r w:rsidR="005273EC" w:rsidRPr="00615904">
        <w:rPr>
          <w:lang w:val="en"/>
        </w:rPr>
        <w:t xml:space="preserve">Taking into account the potential labour force, the unemployment rate of the population aged </w:t>
      </w:r>
      <w:r w:rsidR="00777CA8">
        <w:rPr>
          <w:lang w:val="en"/>
        </w:rPr>
        <w:t xml:space="preserve">      </w:t>
      </w:r>
      <w:r w:rsidR="005273EC" w:rsidRPr="00615904">
        <w:rPr>
          <w:lang w:val="en"/>
        </w:rPr>
        <w:t>15-70 (</w:t>
      </w:r>
      <w:r w:rsidR="005273EC" w:rsidRPr="00615904">
        <w:rPr>
          <w:lang w:val="en-US"/>
        </w:rPr>
        <w:t>by ILO methodology</w:t>
      </w:r>
      <w:r w:rsidR="005273EC" w:rsidRPr="00615904">
        <w:rPr>
          <w:lang w:val="en"/>
        </w:rPr>
        <w:t xml:space="preserve">) </w:t>
      </w:r>
      <w:r w:rsidR="00881F57">
        <w:rPr>
          <w:lang w:val="en"/>
        </w:rPr>
        <w:t xml:space="preserve">in 2018 </w:t>
      </w:r>
      <w:r w:rsidR="005273EC" w:rsidRPr="00615904">
        <w:rPr>
          <w:lang w:val="en"/>
        </w:rPr>
        <w:t xml:space="preserve">would be </w:t>
      </w:r>
      <w:r w:rsidR="00881F57">
        <w:rPr>
          <w:lang w:val="en"/>
        </w:rPr>
        <w:t>9</w:t>
      </w:r>
      <w:proofErr w:type="gramStart"/>
      <w:r w:rsidR="00F45835">
        <w:rPr>
          <w:lang w:val="en"/>
        </w:rPr>
        <w:t>,</w:t>
      </w:r>
      <w:r w:rsidR="00881F57">
        <w:rPr>
          <w:lang w:val="en"/>
        </w:rPr>
        <w:t>5</w:t>
      </w:r>
      <w:proofErr w:type="gramEnd"/>
      <w:r w:rsidR="005273EC" w:rsidRPr="00615904">
        <w:rPr>
          <w:lang w:val="en"/>
        </w:rPr>
        <w:t xml:space="preserve">% </w:t>
      </w:r>
      <w:r w:rsidR="005273EC" w:rsidRPr="00615904">
        <w:rPr>
          <w:lang w:val="en-US"/>
        </w:rPr>
        <w:t>against</w:t>
      </w:r>
      <w:r w:rsidR="005273EC" w:rsidRPr="00615904">
        <w:rPr>
          <w:lang w:val="en"/>
        </w:rPr>
        <w:t xml:space="preserve"> </w:t>
      </w:r>
      <w:r w:rsidR="00881F57">
        <w:rPr>
          <w:lang w:val="en"/>
        </w:rPr>
        <w:t>8</w:t>
      </w:r>
      <w:r w:rsidR="00F45835">
        <w:rPr>
          <w:lang w:val="en"/>
        </w:rPr>
        <w:t>,</w:t>
      </w:r>
      <w:r w:rsidR="00881F57">
        <w:rPr>
          <w:lang w:val="en"/>
        </w:rPr>
        <w:t>8</w:t>
      </w:r>
      <w:r w:rsidR="005273EC" w:rsidRPr="00615904">
        <w:rPr>
          <w:lang w:val="en"/>
        </w:rPr>
        <w:t xml:space="preserve">% </w:t>
      </w:r>
      <w:r w:rsidR="00E91564" w:rsidRPr="00615904">
        <w:rPr>
          <w:lang w:val="en-US"/>
        </w:rPr>
        <w:t xml:space="preserve">(Diagram 2). </w:t>
      </w:r>
    </w:p>
    <w:p w:rsidR="006511EA" w:rsidRPr="00615904" w:rsidRDefault="00E91564" w:rsidP="003F3640">
      <w:pPr>
        <w:ind w:firstLine="567"/>
        <w:jc w:val="right"/>
        <w:rPr>
          <w:lang w:val="en-US"/>
        </w:rPr>
      </w:pPr>
      <w:r w:rsidRPr="00615904">
        <w:rPr>
          <w:lang w:val="en-US"/>
        </w:rPr>
        <w:t xml:space="preserve">Diagram 2 </w:t>
      </w:r>
    </w:p>
    <w:p w:rsidR="00777CA8" w:rsidRDefault="00777CA8" w:rsidP="003F3640">
      <w:pPr>
        <w:ind w:firstLine="567"/>
        <w:jc w:val="center"/>
        <w:rPr>
          <w:b/>
          <w:lang w:val="en-US"/>
        </w:rPr>
      </w:pPr>
    </w:p>
    <w:p w:rsidR="00E91564" w:rsidRPr="00615904" w:rsidRDefault="00E91564" w:rsidP="003F3640">
      <w:pPr>
        <w:ind w:firstLine="567"/>
        <w:jc w:val="center"/>
        <w:rPr>
          <w:b/>
          <w:lang w:val="en-US"/>
        </w:rPr>
      </w:pPr>
      <w:r w:rsidRPr="00615904">
        <w:rPr>
          <w:b/>
          <w:lang w:val="en-US"/>
        </w:rPr>
        <w:t>Supply of labo</w:t>
      </w:r>
      <w:r w:rsidR="001C0482" w:rsidRPr="00615904">
        <w:rPr>
          <w:b/>
          <w:lang w:val="en-US"/>
        </w:rPr>
        <w:t>u</w:t>
      </w:r>
      <w:r w:rsidRPr="00615904">
        <w:rPr>
          <w:b/>
          <w:lang w:val="en-US"/>
        </w:rPr>
        <w:t>r force in 201</w:t>
      </w:r>
      <w:r w:rsidR="00881F57">
        <w:rPr>
          <w:b/>
          <w:lang w:val="en-US"/>
        </w:rPr>
        <w:t>8</w:t>
      </w:r>
    </w:p>
    <w:p w:rsidR="00777CA8" w:rsidRDefault="00777CA8" w:rsidP="003F3640">
      <w:pPr>
        <w:ind w:firstLine="567"/>
        <w:jc w:val="center"/>
        <w:rPr>
          <w:sz w:val="20"/>
          <w:szCs w:val="20"/>
          <w:lang w:val="en-US"/>
        </w:rPr>
      </w:pPr>
    </w:p>
    <w:p w:rsidR="00777CA8" w:rsidRDefault="00E91564" w:rsidP="003F3640">
      <w:pPr>
        <w:ind w:firstLine="567"/>
        <w:jc w:val="center"/>
        <w:rPr>
          <w:sz w:val="20"/>
          <w:szCs w:val="20"/>
          <w:lang w:val="en-US"/>
        </w:rPr>
      </w:pPr>
      <w:r w:rsidRPr="0054398E">
        <w:rPr>
          <w:sz w:val="20"/>
          <w:szCs w:val="20"/>
          <w:lang w:val="en-US"/>
        </w:rPr>
        <w:t xml:space="preserve">(% of the economically active population </w:t>
      </w:r>
      <w:r w:rsidR="0054398E" w:rsidRPr="0054398E">
        <w:rPr>
          <w:sz w:val="18"/>
          <w:szCs w:val="18"/>
          <w:lang w:val="en-US"/>
        </w:rPr>
        <w:t>(taking into account the potential labour force)</w:t>
      </w:r>
      <w:r w:rsidR="0054398E" w:rsidRPr="0054398E">
        <w:rPr>
          <w:sz w:val="20"/>
          <w:szCs w:val="20"/>
          <w:lang w:val="en-US"/>
        </w:rPr>
        <w:t xml:space="preserve"> </w:t>
      </w:r>
    </w:p>
    <w:p w:rsidR="00E91564" w:rsidRPr="0054398E" w:rsidRDefault="00E91564" w:rsidP="003F3640">
      <w:pPr>
        <w:ind w:firstLine="567"/>
        <w:jc w:val="center"/>
        <w:rPr>
          <w:sz w:val="20"/>
          <w:szCs w:val="20"/>
          <w:lang w:val="en-US"/>
        </w:rPr>
      </w:pPr>
      <w:proofErr w:type="gramStart"/>
      <w:r w:rsidRPr="0054398E">
        <w:rPr>
          <w:sz w:val="20"/>
          <w:szCs w:val="20"/>
          <w:lang w:val="en-US"/>
        </w:rPr>
        <w:t>of</w:t>
      </w:r>
      <w:proofErr w:type="gramEnd"/>
      <w:r w:rsidRPr="0054398E">
        <w:rPr>
          <w:sz w:val="20"/>
          <w:szCs w:val="20"/>
          <w:lang w:val="en-US"/>
        </w:rPr>
        <w:t xml:space="preserve"> </w:t>
      </w:r>
      <w:r w:rsidR="001C0482" w:rsidRPr="0054398E">
        <w:rPr>
          <w:sz w:val="20"/>
          <w:szCs w:val="20"/>
          <w:lang w:val="en-US"/>
        </w:rPr>
        <w:t>re</w:t>
      </w:r>
      <w:r w:rsidR="006C479C" w:rsidRPr="0054398E">
        <w:rPr>
          <w:sz w:val="20"/>
          <w:szCs w:val="20"/>
          <w:lang w:val="en-US"/>
        </w:rPr>
        <w:t>l</w:t>
      </w:r>
      <w:r w:rsidR="001C0482" w:rsidRPr="0054398E">
        <w:rPr>
          <w:sz w:val="20"/>
          <w:szCs w:val="20"/>
          <w:lang w:val="en-US"/>
        </w:rPr>
        <w:t>e</w:t>
      </w:r>
      <w:r w:rsidR="006C479C" w:rsidRPr="0054398E">
        <w:rPr>
          <w:sz w:val="20"/>
          <w:szCs w:val="20"/>
          <w:lang w:val="en-US"/>
        </w:rPr>
        <w:t>v</w:t>
      </w:r>
      <w:r w:rsidR="001C0482" w:rsidRPr="0054398E">
        <w:rPr>
          <w:sz w:val="20"/>
          <w:szCs w:val="20"/>
          <w:lang w:val="en-US"/>
        </w:rPr>
        <w:t>ant sex and</w:t>
      </w:r>
      <w:r w:rsidR="006C479C" w:rsidRPr="0054398E">
        <w:rPr>
          <w:sz w:val="20"/>
          <w:szCs w:val="20"/>
          <w:lang w:val="en-US"/>
        </w:rPr>
        <w:t xml:space="preserve"> place of residence</w:t>
      </w:r>
      <w:r w:rsidRPr="0054398E">
        <w:rPr>
          <w:sz w:val="20"/>
          <w:szCs w:val="20"/>
          <w:lang w:val="en-US"/>
        </w:rPr>
        <w:t xml:space="preserve">) </w:t>
      </w:r>
    </w:p>
    <w:p w:rsidR="00E91564" w:rsidRPr="00615904" w:rsidRDefault="001C0482" w:rsidP="00F45835">
      <w:pPr>
        <w:rPr>
          <w:lang w:val="en-US"/>
        </w:rPr>
      </w:pPr>
      <w:r w:rsidRPr="00615904"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5867400" cy="243840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77CA8" w:rsidRDefault="00777CA8" w:rsidP="003F3640">
      <w:pPr>
        <w:autoSpaceDE w:val="0"/>
        <w:autoSpaceDN w:val="0"/>
        <w:adjustRightInd w:val="0"/>
        <w:ind w:firstLine="567"/>
        <w:jc w:val="both"/>
        <w:rPr>
          <w:b/>
          <w:bCs/>
          <w:highlight w:val="yellow"/>
          <w:lang w:val="en-US" w:eastAsia="uk-UA"/>
        </w:rPr>
      </w:pPr>
    </w:p>
    <w:p w:rsidR="00E91564" w:rsidRPr="002C0BFE" w:rsidRDefault="00E91564" w:rsidP="003F3640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en-US" w:eastAsia="uk-UA"/>
        </w:rPr>
      </w:pPr>
      <w:r w:rsidRPr="006238BC">
        <w:rPr>
          <w:b/>
          <w:bCs/>
          <w:lang w:val="en-US" w:eastAsia="uk-UA"/>
        </w:rPr>
        <w:t>According to administrative data from the State Employment Service,</w:t>
      </w:r>
      <w:r w:rsidRPr="006238BC">
        <w:rPr>
          <w:bCs/>
          <w:lang w:val="en-US" w:eastAsia="uk-UA"/>
        </w:rPr>
        <w:t xml:space="preserve"> </w:t>
      </w:r>
      <w:r w:rsidRPr="006238BC">
        <w:rPr>
          <w:lang w:val="en-US"/>
        </w:rPr>
        <w:t>d</w:t>
      </w:r>
      <w:bookmarkStart w:id="1" w:name="_GoBack"/>
      <w:bookmarkEnd w:id="1"/>
      <w:r w:rsidRPr="006238BC">
        <w:rPr>
          <w:lang w:val="en-US"/>
        </w:rPr>
        <w:t>uring 201</w:t>
      </w:r>
      <w:r w:rsidR="0054398E" w:rsidRPr="006238BC">
        <w:rPr>
          <w:lang w:val="en-US"/>
        </w:rPr>
        <w:t>8</w:t>
      </w:r>
      <w:r w:rsidRPr="006238BC">
        <w:rPr>
          <w:b/>
          <w:lang w:val="en-US"/>
        </w:rPr>
        <w:t xml:space="preserve"> </w:t>
      </w:r>
      <w:r w:rsidRPr="006238BC">
        <w:rPr>
          <w:lang w:val="en-US"/>
        </w:rPr>
        <w:t>the unemployment status had 1</w:t>
      </w:r>
      <w:r w:rsidR="005C2E98" w:rsidRPr="006238BC">
        <w:rPr>
          <w:lang w:val="en-US"/>
        </w:rPr>
        <w:t> </w:t>
      </w:r>
      <w:r w:rsidR="0054398E" w:rsidRPr="006238BC">
        <w:rPr>
          <w:lang w:val="en-US"/>
        </w:rPr>
        <w:t>064</w:t>
      </w:r>
      <w:proofErr w:type="gramStart"/>
      <w:r w:rsidR="005C2E98" w:rsidRPr="006238BC">
        <w:rPr>
          <w:lang w:val="en-US"/>
        </w:rPr>
        <w:t>,</w:t>
      </w:r>
      <w:r w:rsidR="0054398E" w:rsidRPr="006238BC">
        <w:rPr>
          <w:lang w:val="en-US"/>
        </w:rPr>
        <w:t>2</w:t>
      </w:r>
      <w:proofErr w:type="gramEnd"/>
      <w:r w:rsidRPr="006238BC">
        <w:rPr>
          <w:lang w:val="en-US"/>
        </w:rPr>
        <w:t xml:space="preserve"> thousand persons. The number of the registered unemployed compared to 201</w:t>
      </w:r>
      <w:r w:rsidR="0054398E" w:rsidRPr="006238BC">
        <w:rPr>
          <w:lang w:val="en-US"/>
        </w:rPr>
        <w:t>7</w:t>
      </w:r>
      <w:r w:rsidRPr="006238BC">
        <w:rPr>
          <w:lang w:val="en-US"/>
        </w:rPr>
        <w:t xml:space="preserve"> decreased by 3</w:t>
      </w:r>
      <w:proofErr w:type="gramStart"/>
      <w:r w:rsidR="005C2E98" w:rsidRPr="006238BC">
        <w:rPr>
          <w:lang w:val="en-US"/>
        </w:rPr>
        <w:t>,</w:t>
      </w:r>
      <w:r w:rsidR="0054398E" w:rsidRPr="006238BC">
        <w:rPr>
          <w:lang w:val="en-US"/>
        </w:rPr>
        <w:t>6</w:t>
      </w:r>
      <w:proofErr w:type="gramEnd"/>
      <w:r w:rsidRPr="006238BC">
        <w:rPr>
          <w:lang w:val="en-US"/>
        </w:rPr>
        <w:t xml:space="preserve">% and </w:t>
      </w:r>
      <w:r w:rsidR="0054398E" w:rsidRPr="006238BC">
        <w:rPr>
          <w:lang w:val="en-US" w:eastAsia="uk-UA"/>
        </w:rPr>
        <w:t>at the end of 2018</w:t>
      </w:r>
      <w:r w:rsidR="0054398E" w:rsidRPr="006238BC">
        <w:rPr>
          <w:lang w:val="en-US"/>
        </w:rPr>
        <w:t xml:space="preserve"> </w:t>
      </w:r>
      <w:r w:rsidRPr="006238BC">
        <w:rPr>
          <w:lang w:val="en-US"/>
        </w:rPr>
        <w:t>comprised 3</w:t>
      </w:r>
      <w:r w:rsidR="0054398E" w:rsidRPr="006238BC">
        <w:rPr>
          <w:lang w:val="en-US"/>
        </w:rPr>
        <w:t>41</w:t>
      </w:r>
      <w:r w:rsidR="005C2E98" w:rsidRPr="006238BC">
        <w:rPr>
          <w:lang w:val="en-US"/>
        </w:rPr>
        <w:t>,</w:t>
      </w:r>
      <w:r w:rsidR="0054398E" w:rsidRPr="006238BC">
        <w:rPr>
          <w:lang w:val="en-US"/>
        </w:rPr>
        <w:t>7</w:t>
      </w:r>
      <w:r w:rsidRPr="006238BC">
        <w:rPr>
          <w:lang w:val="en-US"/>
        </w:rPr>
        <w:t xml:space="preserve"> thousand persons</w:t>
      </w:r>
      <w:r w:rsidR="00511A33" w:rsidRPr="006238BC">
        <w:rPr>
          <w:lang w:val="en-US"/>
        </w:rPr>
        <w:t>.</w:t>
      </w:r>
      <w:r w:rsidRPr="006238BC">
        <w:rPr>
          <w:lang w:val="en-US"/>
        </w:rPr>
        <w:t xml:space="preserve"> </w:t>
      </w:r>
      <w:r w:rsidR="00C85B2B" w:rsidRPr="006238BC">
        <w:rPr>
          <w:lang w:val="en-US"/>
        </w:rPr>
        <w:t>Among their</w:t>
      </w:r>
      <w:r w:rsidRPr="006238BC">
        <w:rPr>
          <w:lang w:val="en-US"/>
        </w:rPr>
        <w:t xml:space="preserve"> the total number </w:t>
      </w:r>
      <w:r w:rsidR="00C85B2B" w:rsidRPr="006238BC">
        <w:rPr>
          <w:lang w:val="en-US"/>
        </w:rPr>
        <w:t>297</w:t>
      </w:r>
      <w:r w:rsidR="005C2E98" w:rsidRPr="006238BC">
        <w:rPr>
          <w:lang w:val="en-US"/>
        </w:rPr>
        <w:t>,</w:t>
      </w:r>
      <w:r w:rsidR="00C85B2B" w:rsidRPr="006238BC">
        <w:rPr>
          <w:lang w:val="en-US"/>
        </w:rPr>
        <w:t>2</w:t>
      </w:r>
      <w:r w:rsidRPr="006238BC">
        <w:rPr>
          <w:lang w:val="en-US"/>
        </w:rPr>
        <w:t xml:space="preserve"> thousand</w:t>
      </w:r>
      <w:r w:rsidR="00C85B2B" w:rsidRPr="006238BC">
        <w:rPr>
          <w:lang w:val="en-US"/>
        </w:rPr>
        <w:t xml:space="preserve"> persons (87</w:t>
      </w:r>
      <w:r w:rsidR="005C2E98" w:rsidRPr="006238BC">
        <w:rPr>
          <w:lang w:val="en-US"/>
        </w:rPr>
        <w:t>,</w:t>
      </w:r>
      <w:r w:rsidR="00C85B2B" w:rsidRPr="006238BC">
        <w:rPr>
          <w:lang w:val="en-US"/>
        </w:rPr>
        <w:t>0%)</w:t>
      </w:r>
      <w:r w:rsidRPr="006238BC">
        <w:rPr>
          <w:lang w:val="en-US"/>
        </w:rPr>
        <w:t xml:space="preserve"> ha</w:t>
      </w:r>
      <w:r w:rsidR="00DD2317" w:rsidRPr="006238BC">
        <w:rPr>
          <w:lang w:val="en-US"/>
        </w:rPr>
        <w:t>d</w:t>
      </w:r>
      <w:r w:rsidR="00C85B2B" w:rsidRPr="006238BC">
        <w:rPr>
          <w:lang w:val="en-US"/>
        </w:rPr>
        <w:t xml:space="preserve"> </w:t>
      </w:r>
      <w:r w:rsidR="0098068F" w:rsidRPr="006238BC">
        <w:rPr>
          <w:lang w:val="en-US"/>
        </w:rPr>
        <w:t>previous</w:t>
      </w:r>
      <w:r w:rsidRPr="006238BC">
        <w:rPr>
          <w:lang w:val="en-US"/>
        </w:rPr>
        <w:t xml:space="preserve"> work experience</w:t>
      </w:r>
      <w:r w:rsidR="00DD2317" w:rsidRPr="006238BC">
        <w:rPr>
          <w:lang w:val="en-US"/>
        </w:rPr>
        <w:t>, out of them</w:t>
      </w:r>
      <w:r w:rsidRPr="006238BC">
        <w:rPr>
          <w:lang w:val="en-US"/>
        </w:rPr>
        <w:t xml:space="preserve"> every </w:t>
      </w:r>
      <w:r w:rsidR="00DD2317" w:rsidRPr="006238BC">
        <w:rPr>
          <w:lang w:val="en-US"/>
        </w:rPr>
        <w:t>third</w:t>
      </w:r>
      <w:r w:rsidRPr="006238BC">
        <w:rPr>
          <w:lang w:val="en-US"/>
        </w:rPr>
        <w:t xml:space="preserve"> was previously employed in agriculture</w:t>
      </w:r>
      <w:r w:rsidR="00DD2317" w:rsidRPr="006238BC">
        <w:rPr>
          <w:lang w:val="en-US"/>
        </w:rPr>
        <w:t>,</w:t>
      </w:r>
      <w:r w:rsidRPr="006238BC">
        <w:rPr>
          <w:lang w:val="en-US"/>
        </w:rPr>
        <w:t xml:space="preserve"> forestry and fishery; every </w:t>
      </w:r>
      <w:r w:rsidR="00DD2317" w:rsidRPr="006238BC">
        <w:rPr>
          <w:lang w:val="en-US"/>
        </w:rPr>
        <w:t>s</w:t>
      </w:r>
      <w:r w:rsidR="00C85B2B" w:rsidRPr="006238BC">
        <w:rPr>
          <w:lang w:val="en-US"/>
        </w:rPr>
        <w:t>eventh</w:t>
      </w:r>
      <w:r w:rsidR="00DD2317" w:rsidRPr="006238BC">
        <w:rPr>
          <w:lang w:val="en-US"/>
        </w:rPr>
        <w:t xml:space="preserve"> </w:t>
      </w:r>
      <w:r w:rsidRPr="006238BC">
        <w:rPr>
          <w:lang w:val="en-US"/>
        </w:rPr>
        <w:t xml:space="preserve">was engaged in the </w:t>
      </w:r>
      <w:r w:rsidR="00DD2317" w:rsidRPr="006238BC">
        <w:rPr>
          <w:lang w:val="en-US"/>
        </w:rPr>
        <w:t xml:space="preserve">wholesale and retail trade; repair of motor vehicles and motorcycles, every </w:t>
      </w:r>
      <w:r w:rsidR="00C85B2B" w:rsidRPr="006238BC">
        <w:rPr>
          <w:lang w:val="en-US"/>
        </w:rPr>
        <w:t>eighth</w:t>
      </w:r>
      <w:r w:rsidR="00DD2317" w:rsidRPr="006238BC">
        <w:rPr>
          <w:lang w:val="en-US"/>
        </w:rPr>
        <w:t xml:space="preserve"> was in manufacturing</w:t>
      </w:r>
      <w:r w:rsidR="00C85B2B" w:rsidRPr="006238BC">
        <w:rPr>
          <w:lang w:val="en-US"/>
        </w:rPr>
        <w:t xml:space="preserve"> and</w:t>
      </w:r>
      <w:r w:rsidR="00DD2317" w:rsidRPr="006238BC">
        <w:rPr>
          <w:lang w:val="en-US"/>
        </w:rPr>
        <w:t xml:space="preserve"> in the state </w:t>
      </w:r>
      <w:r w:rsidRPr="006238BC">
        <w:rPr>
          <w:lang w:val="en-US"/>
        </w:rPr>
        <w:t>administrative and defense; compulsory social insurance</w:t>
      </w:r>
      <w:r w:rsidR="00DD2317" w:rsidRPr="006238BC">
        <w:rPr>
          <w:lang w:val="en-US"/>
        </w:rPr>
        <w:t>.</w:t>
      </w:r>
      <w:r w:rsidR="00DD2317" w:rsidRPr="002C0BFE">
        <w:rPr>
          <w:lang w:val="en-US"/>
        </w:rPr>
        <w:t xml:space="preserve"> </w:t>
      </w:r>
    </w:p>
    <w:p w:rsidR="00E91564" w:rsidRPr="002C0BFE" w:rsidRDefault="00E91564" w:rsidP="003F3640">
      <w:pPr>
        <w:ind w:firstLine="567"/>
        <w:jc w:val="both"/>
        <w:rPr>
          <w:lang w:val="en-US"/>
        </w:rPr>
      </w:pPr>
      <w:r w:rsidRPr="002C0BFE">
        <w:rPr>
          <w:lang w:val="en-US"/>
        </w:rPr>
        <w:t>Th</w:t>
      </w:r>
      <w:r w:rsidR="00DD2317" w:rsidRPr="002C0BFE">
        <w:rPr>
          <w:lang w:val="en-US"/>
        </w:rPr>
        <w:t xml:space="preserve">e number of </w:t>
      </w:r>
      <w:r w:rsidRPr="002C0BFE">
        <w:rPr>
          <w:lang w:val="en-US"/>
        </w:rPr>
        <w:t>vacancies declared by employers at the end of 201</w:t>
      </w:r>
      <w:r w:rsidR="007E402D" w:rsidRPr="002C0BFE">
        <w:rPr>
          <w:lang w:val="en-US"/>
        </w:rPr>
        <w:t>8</w:t>
      </w:r>
      <w:r w:rsidRPr="002C0BFE">
        <w:rPr>
          <w:lang w:val="en-US"/>
        </w:rPr>
        <w:t xml:space="preserve"> was </w:t>
      </w:r>
      <w:r w:rsidR="007E402D" w:rsidRPr="002C0BFE">
        <w:rPr>
          <w:lang w:val="en-US"/>
        </w:rPr>
        <w:t>58</w:t>
      </w:r>
      <w:proofErr w:type="gramStart"/>
      <w:r w:rsidR="005C2E98" w:rsidRPr="002C0BFE">
        <w:rPr>
          <w:lang w:val="en-US"/>
        </w:rPr>
        <w:t>,</w:t>
      </w:r>
      <w:r w:rsidR="00DD2317" w:rsidRPr="002C0BFE">
        <w:rPr>
          <w:lang w:val="en-US"/>
        </w:rPr>
        <w:t>4</w:t>
      </w:r>
      <w:proofErr w:type="gramEnd"/>
      <w:r w:rsidR="00DD2317" w:rsidRPr="002C0BFE">
        <w:rPr>
          <w:lang w:val="en-US"/>
        </w:rPr>
        <w:t xml:space="preserve"> thousand that is by </w:t>
      </w:r>
      <w:r w:rsidR="007E402D" w:rsidRPr="002C0BFE">
        <w:rPr>
          <w:lang w:val="en-US"/>
        </w:rPr>
        <w:t>16</w:t>
      </w:r>
      <w:r w:rsidR="005C2E98" w:rsidRPr="002C0BFE">
        <w:rPr>
          <w:lang w:val="en-US"/>
        </w:rPr>
        <w:t>,</w:t>
      </w:r>
      <w:r w:rsidR="007E402D" w:rsidRPr="002C0BFE">
        <w:rPr>
          <w:lang w:val="en-US"/>
        </w:rPr>
        <w:t>1</w:t>
      </w:r>
      <w:r w:rsidRPr="002C0BFE">
        <w:rPr>
          <w:lang w:val="en-US"/>
        </w:rPr>
        <w:t>% higher than at the end of 201</w:t>
      </w:r>
      <w:r w:rsidR="007E402D" w:rsidRPr="002C0BFE">
        <w:rPr>
          <w:lang w:val="en-US"/>
        </w:rPr>
        <w:t>7</w:t>
      </w:r>
      <w:r w:rsidRPr="002C0BFE">
        <w:rPr>
          <w:lang w:val="en-US"/>
        </w:rPr>
        <w:t xml:space="preserve">. </w:t>
      </w:r>
    </w:p>
    <w:p w:rsidR="00E91564" w:rsidRPr="002C0BFE" w:rsidRDefault="00E91564" w:rsidP="003F3640">
      <w:pPr>
        <w:ind w:firstLine="567"/>
        <w:jc w:val="both"/>
        <w:rPr>
          <w:lang w:val="en-US"/>
        </w:rPr>
      </w:pPr>
      <w:r w:rsidRPr="002C0BFE">
        <w:rPr>
          <w:lang w:val="en-US"/>
        </w:rPr>
        <w:t xml:space="preserve">Out of the total number of vacancies, </w:t>
      </w:r>
      <w:r w:rsidRPr="006238BC">
        <w:rPr>
          <w:lang w:val="en-US"/>
        </w:rPr>
        <w:t xml:space="preserve">every </w:t>
      </w:r>
      <w:r w:rsidR="007E402D" w:rsidRPr="006238BC">
        <w:rPr>
          <w:lang w:val="en-US"/>
        </w:rPr>
        <w:t>fifth</w:t>
      </w:r>
      <w:r w:rsidR="00DD2317" w:rsidRPr="006238BC">
        <w:rPr>
          <w:lang w:val="en-US"/>
        </w:rPr>
        <w:t xml:space="preserve"> </w:t>
      </w:r>
      <w:r w:rsidRPr="006238BC">
        <w:rPr>
          <w:lang w:val="en-US"/>
        </w:rPr>
        <w:t>was</w:t>
      </w:r>
      <w:r w:rsidRPr="002C0BFE">
        <w:rPr>
          <w:lang w:val="en-US"/>
        </w:rPr>
        <w:t xml:space="preserve"> in manufacturing, every sixth was in wholesale and retail trade; repair of motor vehicles and motorcycles, every ninth was in transport, warehouse, </w:t>
      </w:r>
      <w:proofErr w:type="gramStart"/>
      <w:r w:rsidRPr="002C0BFE">
        <w:rPr>
          <w:lang w:val="en-US"/>
        </w:rPr>
        <w:t>mail</w:t>
      </w:r>
      <w:proofErr w:type="gramEnd"/>
      <w:r w:rsidRPr="002C0BFE">
        <w:rPr>
          <w:lang w:val="en-US"/>
        </w:rPr>
        <w:t xml:space="preserve"> and courier activity. </w:t>
      </w:r>
    </w:p>
    <w:p w:rsidR="003252E4" w:rsidRPr="002C0BFE" w:rsidRDefault="00E91564" w:rsidP="003F3640">
      <w:pPr>
        <w:ind w:firstLine="567"/>
        <w:jc w:val="both"/>
        <w:rPr>
          <w:lang w:val="en-US"/>
        </w:rPr>
      </w:pPr>
      <w:r w:rsidRPr="002C0BFE">
        <w:rPr>
          <w:lang w:val="en-US"/>
        </w:rPr>
        <w:t xml:space="preserve">The </w:t>
      </w:r>
      <w:r w:rsidR="00DD2317" w:rsidRPr="002C0BFE">
        <w:rPr>
          <w:lang w:val="en-US"/>
        </w:rPr>
        <w:t xml:space="preserve">largest number of vacancies was observed among </w:t>
      </w:r>
      <w:r w:rsidR="003252E4" w:rsidRPr="002C0BFE">
        <w:rPr>
          <w:lang w:val="en-US"/>
        </w:rPr>
        <w:t xml:space="preserve">the </w:t>
      </w:r>
      <w:r w:rsidRPr="002C0BFE">
        <w:rPr>
          <w:lang w:val="en-US"/>
        </w:rPr>
        <w:t>qualified employees with tools (2</w:t>
      </w:r>
      <w:r w:rsidR="003252E4" w:rsidRPr="002C0BFE">
        <w:rPr>
          <w:lang w:val="en-US"/>
        </w:rPr>
        <w:t>3</w:t>
      </w:r>
      <w:proofErr w:type="gramStart"/>
      <w:r w:rsidR="005C2E98" w:rsidRPr="002C0BFE">
        <w:rPr>
          <w:lang w:val="en-US"/>
        </w:rPr>
        <w:t>,</w:t>
      </w:r>
      <w:r w:rsidR="007E402D" w:rsidRPr="002C0BFE">
        <w:rPr>
          <w:lang w:val="en-US"/>
        </w:rPr>
        <w:t>7</w:t>
      </w:r>
      <w:proofErr w:type="gramEnd"/>
      <w:r w:rsidRPr="002C0BFE">
        <w:rPr>
          <w:lang w:val="en-US"/>
        </w:rPr>
        <w:t>% of the total number of</w:t>
      </w:r>
      <w:r w:rsidR="003252E4" w:rsidRPr="002C0BFE">
        <w:rPr>
          <w:lang w:val="en-US"/>
        </w:rPr>
        <w:t xml:space="preserve"> </w:t>
      </w:r>
      <w:r w:rsidRPr="002C0BFE">
        <w:rPr>
          <w:lang w:val="en-US"/>
        </w:rPr>
        <w:t>vacancies at the end of 201</w:t>
      </w:r>
      <w:r w:rsidR="007E402D" w:rsidRPr="002C0BFE">
        <w:rPr>
          <w:lang w:val="en-US"/>
        </w:rPr>
        <w:t>8</w:t>
      </w:r>
      <w:r w:rsidRPr="002C0BFE">
        <w:rPr>
          <w:lang w:val="en-US"/>
        </w:rPr>
        <w:t xml:space="preserve">) </w:t>
      </w:r>
      <w:r w:rsidR="003252E4" w:rsidRPr="002C0BFE">
        <w:rPr>
          <w:lang w:val="en-US"/>
        </w:rPr>
        <w:t>while the lowest number was among the qualified employees of agriculture and forestry, fish farming and fishing (</w:t>
      </w:r>
      <w:r w:rsidR="007E402D" w:rsidRPr="002C0BFE">
        <w:rPr>
          <w:lang w:val="en-US"/>
        </w:rPr>
        <w:t>1</w:t>
      </w:r>
      <w:r w:rsidR="005C2E98" w:rsidRPr="002C0BFE">
        <w:rPr>
          <w:lang w:val="en-US"/>
        </w:rPr>
        <w:t>,</w:t>
      </w:r>
      <w:r w:rsidR="007E402D" w:rsidRPr="002C0BFE">
        <w:rPr>
          <w:lang w:val="en-US"/>
        </w:rPr>
        <w:t>0</w:t>
      </w:r>
      <w:r w:rsidR="003252E4" w:rsidRPr="002C0BFE">
        <w:rPr>
          <w:lang w:val="en-US"/>
        </w:rPr>
        <w:t xml:space="preserve">%). </w:t>
      </w:r>
    </w:p>
    <w:p w:rsidR="00E91564" w:rsidRPr="002C0BFE" w:rsidRDefault="00E91564" w:rsidP="003F3640">
      <w:pPr>
        <w:ind w:firstLine="567"/>
        <w:jc w:val="both"/>
        <w:rPr>
          <w:lang w:val="en-US"/>
        </w:rPr>
      </w:pPr>
      <w:r w:rsidRPr="002C0BFE">
        <w:rPr>
          <w:lang w:val="en-US"/>
        </w:rPr>
        <w:t xml:space="preserve">The structural disproportion between the demand for labor force and its proposal is a factor that limits </w:t>
      </w:r>
      <w:r w:rsidR="003252E4" w:rsidRPr="002C0BFE">
        <w:rPr>
          <w:lang w:val="en-US"/>
        </w:rPr>
        <w:t>the</w:t>
      </w:r>
      <w:r w:rsidRPr="002C0BFE">
        <w:rPr>
          <w:lang w:val="en-US"/>
        </w:rPr>
        <w:t xml:space="preserve"> satisfaction of employers' demand for employees. </w:t>
      </w:r>
    </w:p>
    <w:p w:rsidR="00E91564" w:rsidRPr="002C0BFE" w:rsidRDefault="00E91564" w:rsidP="003F3640">
      <w:pPr>
        <w:ind w:firstLine="567"/>
        <w:jc w:val="both"/>
        <w:rPr>
          <w:lang w:val="en-US"/>
        </w:rPr>
      </w:pPr>
      <w:r w:rsidRPr="002C0BFE">
        <w:rPr>
          <w:lang w:val="en-US"/>
        </w:rPr>
        <w:t>The</w:t>
      </w:r>
      <w:r w:rsidR="003252E4" w:rsidRPr="002C0BFE">
        <w:rPr>
          <w:lang w:val="en-US"/>
        </w:rPr>
        <w:t xml:space="preserve"> </w:t>
      </w:r>
      <w:r w:rsidR="006238BC">
        <w:rPr>
          <w:lang w:val="en-US"/>
        </w:rPr>
        <w:t xml:space="preserve">load of the </w:t>
      </w:r>
      <w:r w:rsidRPr="002C0BFE">
        <w:rPr>
          <w:lang w:val="en-US"/>
        </w:rPr>
        <w:t xml:space="preserve">registered unemployed per </w:t>
      </w:r>
      <w:r w:rsidR="003252E4" w:rsidRPr="002C0BFE">
        <w:rPr>
          <w:lang w:val="en-US"/>
        </w:rPr>
        <w:t xml:space="preserve">one vacancy </w:t>
      </w:r>
      <w:r w:rsidRPr="002C0BFE">
        <w:rPr>
          <w:lang w:val="en-US"/>
        </w:rPr>
        <w:t xml:space="preserve">across the country decreased from </w:t>
      </w:r>
      <w:r w:rsidR="007E402D" w:rsidRPr="002C0BFE">
        <w:rPr>
          <w:lang w:val="en-US"/>
        </w:rPr>
        <w:t>7</w:t>
      </w:r>
      <w:r w:rsidRPr="002C0BFE">
        <w:rPr>
          <w:lang w:val="en-US"/>
        </w:rPr>
        <w:t xml:space="preserve"> persons at the end of 201</w:t>
      </w:r>
      <w:r w:rsidR="007E402D" w:rsidRPr="002C0BFE">
        <w:rPr>
          <w:lang w:val="en-US"/>
        </w:rPr>
        <w:t>7</w:t>
      </w:r>
      <w:r w:rsidRPr="002C0BFE">
        <w:rPr>
          <w:lang w:val="en-US"/>
        </w:rPr>
        <w:t xml:space="preserve"> to </w:t>
      </w:r>
      <w:r w:rsidR="007E402D" w:rsidRPr="002C0BFE">
        <w:rPr>
          <w:lang w:val="en-US"/>
        </w:rPr>
        <w:t>6</w:t>
      </w:r>
      <w:r w:rsidRPr="002C0BFE">
        <w:rPr>
          <w:lang w:val="en-US"/>
        </w:rPr>
        <w:t xml:space="preserve"> persons at the end of 201</w:t>
      </w:r>
      <w:r w:rsidR="007E402D" w:rsidRPr="002C0BFE">
        <w:rPr>
          <w:lang w:val="en-US"/>
        </w:rPr>
        <w:t>8</w:t>
      </w:r>
      <w:r w:rsidRPr="002C0BFE">
        <w:rPr>
          <w:lang w:val="en-US"/>
        </w:rPr>
        <w:t xml:space="preserve">. </w:t>
      </w:r>
    </w:p>
    <w:p w:rsidR="00CC6810" w:rsidRPr="002C0BFE" w:rsidRDefault="00CC6810" w:rsidP="003F3640">
      <w:pPr>
        <w:ind w:firstLine="567"/>
        <w:jc w:val="both"/>
        <w:rPr>
          <w:lang w:val="en-US"/>
        </w:rPr>
      </w:pPr>
    </w:p>
    <w:sectPr w:rsidR="00CC6810" w:rsidRPr="002C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4D" w:rsidRDefault="001C554D" w:rsidP="00AC59F8">
      <w:r>
        <w:separator/>
      </w:r>
    </w:p>
  </w:endnote>
  <w:endnote w:type="continuationSeparator" w:id="0">
    <w:p w:rsidR="001C554D" w:rsidRDefault="001C554D" w:rsidP="00A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4D" w:rsidRDefault="001C554D" w:rsidP="00AC59F8">
      <w:r>
        <w:separator/>
      </w:r>
    </w:p>
  </w:footnote>
  <w:footnote w:type="continuationSeparator" w:id="0">
    <w:p w:rsidR="001C554D" w:rsidRDefault="001C554D" w:rsidP="00AC59F8">
      <w:r>
        <w:continuationSeparator/>
      </w:r>
    </w:p>
  </w:footnote>
  <w:footnote w:id="1">
    <w:p w:rsidR="00AC59F8" w:rsidRPr="00AC59F8" w:rsidRDefault="00AC59F8">
      <w:pPr>
        <w:pStyle w:val="a9"/>
        <w:rPr>
          <w:lang w:val="en-US"/>
        </w:rPr>
      </w:pPr>
      <w:r>
        <w:rPr>
          <w:rStyle w:val="ab"/>
        </w:rPr>
        <w:footnoteRef/>
      </w:r>
      <w:r w:rsidRPr="00AC59F8">
        <w:rPr>
          <w:lang w:val="en-US"/>
        </w:rPr>
        <w:t xml:space="preserve"> </w:t>
      </w:r>
      <w:r>
        <w:rPr>
          <w:lang w:val="en-US"/>
        </w:rPr>
        <w:t xml:space="preserve">Including the complete, base and incomplete tertiary education.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72B23"/>
    <w:multiLevelType w:val="hybridMultilevel"/>
    <w:tmpl w:val="109A4140"/>
    <w:lvl w:ilvl="0" w:tplc="F0F2F2F6">
      <w:start w:val="1"/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">
    <w:nsid w:val="51212874"/>
    <w:multiLevelType w:val="hybridMultilevel"/>
    <w:tmpl w:val="39EEAA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59A2E52"/>
    <w:multiLevelType w:val="hybridMultilevel"/>
    <w:tmpl w:val="1B70E3F8"/>
    <w:lvl w:ilvl="0" w:tplc="F0F2F2F6">
      <w:start w:val="1"/>
      <w:numFmt w:val="bullet"/>
      <w:lvlText w:val="-"/>
      <w:lvlJc w:val="left"/>
      <w:pPr>
        <w:tabs>
          <w:tab w:val="num" w:pos="1440"/>
        </w:tabs>
        <w:ind w:left="1418" w:hanging="33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663209"/>
    <w:multiLevelType w:val="hybridMultilevel"/>
    <w:tmpl w:val="86A4C070"/>
    <w:lvl w:ilvl="0" w:tplc="F13E6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AA2FD0"/>
    <w:multiLevelType w:val="hybridMultilevel"/>
    <w:tmpl w:val="04DCCAA0"/>
    <w:lvl w:ilvl="0" w:tplc="0422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7651448A"/>
    <w:multiLevelType w:val="hybridMultilevel"/>
    <w:tmpl w:val="6A04BC98"/>
    <w:lvl w:ilvl="0" w:tplc="F0F2F2F6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B5"/>
    <w:rsid w:val="0000362A"/>
    <w:rsid w:val="00003E5B"/>
    <w:rsid w:val="00007078"/>
    <w:rsid w:val="00011276"/>
    <w:rsid w:val="00017743"/>
    <w:rsid w:val="00021AC7"/>
    <w:rsid w:val="00026F97"/>
    <w:rsid w:val="00041701"/>
    <w:rsid w:val="00054D46"/>
    <w:rsid w:val="00062514"/>
    <w:rsid w:val="00083AD6"/>
    <w:rsid w:val="00090C94"/>
    <w:rsid w:val="0009386A"/>
    <w:rsid w:val="000A784B"/>
    <w:rsid w:val="000B111B"/>
    <w:rsid w:val="000B22B9"/>
    <w:rsid w:val="000D79B2"/>
    <w:rsid w:val="00136BB4"/>
    <w:rsid w:val="00147A7F"/>
    <w:rsid w:val="00150967"/>
    <w:rsid w:val="00151094"/>
    <w:rsid w:val="00151407"/>
    <w:rsid w:val="001518D5"/>
    <w:rsid w:val="00154725"/>
    <w:rsid w:val="0017151D"/>
    <w:rsid w:val="00172055"/>
    <w:rsid w:val="00181594"/>
    <w:rsid w:val="00182E51"/>
    <w:rsid w:val="00196288"/>
    <w:rsid w:val="001A2117"/>
    <w:rsid w:val="001A7F9F"/>
    <w:rsid w:val="001B6C5D"/>
    <w:rsid w:val="001C0482"/>
    <w:rsid w:val="001C554D"/>
    <w:rsid w:val="001C6B7E"/>
    <w:rsid w:val="001D0CDF"/>
    <w:rsid w:val="001E3F76"/>
    <w:rsid w:val="001E4FC3"/>
    <w:rsid w:val="001F3554"/>
    <w:rsid w:val="00214053"/>
    <w:rsid w:val="002141FA"/>
    <w:rsid w:val="00224DB5"/>
    <w:rsid w:val="0022687C"/>
    <w:rsid w:val="002270B8"/>
    <w:rsid w:val="0023218B"/>
    <w:rsid w:val="00240C45"/>
    <w:rsid w:val="00244475"/>
    <w:rsid w:val="00257A1A"/>
    <w:rsid w:val="002729BD"/>
    <w:rsid w:val="00273886"/>
    <w:rsid w:val="00276430"/>
    <w:rsid w:val="002810A7"/>
    <w:rsid w:val="00283453"/>
    <w:rsid w:val="0028611C"/>
    <w:rsid w:val="00292879"/>
    <w:rsid w:val="002B5C7F"/>
    <w:rsid w:val="002B5F2D"/>
    <w:rsid w:val="002B722C"/>
    <w:rsid w:val="002B759F"/>
    <w:rsid w:val="002C0BFE"/>
    <w:rsid w:val="002C44B9"/>
    <w:rsid w:val="002C614F"/>
    <w:rsid w:val="002C68FE"/>
    <w:rsid w:val="002D3B51"/>
    <w:rsid w:val="002E1A1B"/>
    <w:rsid w:val="002E65DC"/>
    <w:rsid w:val="002E7173"/>
    <w:rsid w:val="002F061C"/>
    <w:rsid w:val="002F76C3"/>
    <w:rsid w:val="003073FF"/>
    <w:rsid w:val="00316821"/>
    <w:rsid w:val="00323AA2"/>
    <w:rsid w:val="003252E4"/>
    <w:rsid w:val="003456C1"/>
    <w:rsid w:val="0035739C"/>
    <w:rsid w:val="00357FCF"/>
    <w:rsid w:val="003775D4"/>
    <w:rsid w:val="00385D0F"/>
    <w:rsid w:val="003863A7"/>
    <w:rsid w:val="00387395"/>
    <w:rsid w:val="00394093"/>
    <w:rsid w:val="00394387"/>
    <w:rsid w:val="003A5E9D"/>
    <w:rsid w:val="003D31E1"/>
    <w:rsid w:val="003E6708"/>
    <w:rsid w:val="003F3640"/>
    <w:rsid w:val="003F684F"/>
    <w:rsid w:val="00400498"/>
    <w:rsid w:val="00420623"/>
    <w:rsid w:val="00431B04"/>
    <w:rsid w:val="004339D9"/>
    <w:rsid w:val="004446CA"/>
    <w:rsid w:val="004451AD"/>
    <w:rsid w:val="00450BF8"/>
    <w:rsid w:val="00464CE8"/>
    <w:rsid w:val="00466465"/>
    <w:rsid w:val="00472E50"/>
    <w:rsid w:val="004804CF"/>
    <w:rsid w:val="004814F0"/>
    <w:rsid w:val="00481A76"/>
    <w:rsid w:val="004C0069"/>
    <w:rsid w:val="004C01F2"/>
    <w:rsid w:val="004C6094"/>
    <w:rsid w:val="004D08D0"/>
    <w:rsid w:val="004D1FBC"/>
    <w:rsid w:val="004D27D3"/>
    <w:rsid w:val="004D3ADF"/>
    <w:rsid w:val="004D56DD"/>
    <w:rsid w:val="004E75E0"/>
    <w:rsid w:val="004F525B"/>
    <w:rsid w:val="004F7EE2"/>
    <w:rsid w:val="00502FAB"/>
    <w:rsid w:val="00511A33"/>
    <w:rsid w:val="005124E3"/>
    <w:rsid w:val="00515804"/>
    <w:rsid w:val="00521224"/>
    <w:rsid w:val="005273EC"/>
    <w:rsid w:val="0053772B"/>
    <w:rsid w:val="005414F1"/>
    <w:rsid w:val="0054398E"/>
    <w:rsid w:val="005529B2"/>
    <w:rsid w:val="0055436A"/>
    <w:rsid w:val="005614FE"/>
    <w:rsid w:val="00577EC3"/>
    <w:rsid w:val="0058446D"/>
    <w:rsid w:val="00586BA1"/>
    <w:rsid w:val="00590372"/>
    <w:rsid w:val="00591571"/>
    <w:rsid w:val="00591674"/>
    <w:rsid w:val="00592756"/>
    <w:rsid w:val="00594104"/>
    <w:rsid w:val="005979D3"/>
    <w:rsid w:val="005A0AE8"/>
    <w:rsid w:val="005A33E0"/>
    <w:rsid w:val="005B2325"/>
    <w:rsid w:val="005B6A0B"/>
    <w:rsid w:val="005C2E98"/>
    <w:rsid w:val="005C455B"/>
    <w:rsid w:val="005D2C84"/>
    <w:rsid w:val="005D3A74"/>
    <w:rsid w:val="005D54E1"/>
    <w:rsid w:val="005D6120"/>
    <w:rsid w:val="005F6DF8"/>
    <w:rsid w:val="00600A83"/>
    <w:rsid w:val="00612F96"/>
    <w:rsid w:val="006149E4"/>
    <w:rsid w:val="00615904"/>
    <w:rsid w:val="006238BC"/>
    <w:rsid w:val="00637842"/>
    <w:rsid w:val="006511EA"/>
    <w:rsid w:val="00651E2A"/>
    <w:rsid w:val="00664DDA"/>
    <w:rsid w:val="0067014A"/>
    <w:rsid w:val="006714D3"/>
    <w:rsid w:val="0067246C"/>
    <w:rsid w:val="00682EF1"/>
    <w:rsid w:val="00682F1F"/>
    <w:rsid w:val="006872A1"/>
    <w:rsid w:val="006C3950"/>
    <w:rsid w:val="006C479C"/>
    <w:rsid w:val="006C6058"/>
    <w:rsid w:val="006C6FA8"/>
    <w:rsid w:val="006D5A48"/>
    <w:rsid w:val="006D7F31"/>
    <w:rsid w:val="006E3CEF"/>
    <w:rsid w:val="006E7872"/>
    <w:rsid w:val="006F3536"/>
    <w:rsid w:val="00706CFB"/>
    <w:rsid w:val="007416CB"/>
    <w:rsid w:val="00741852"/>
    <w:rsid w:val="00741EC6"/>
    <w:rsid w:val="00743DA3"/>
    <w:rsid w:val="00755265"/>
    <w:rsid w:val="00756F2E"/>
    <w:rsid w:val="0076353C"/>
    <w:rsid w:val="00771979"/>
    <w:rsid w:val="00777CA8"/>
    <w:rsid w:val="007877C0"/>
    <w:rsid w:val="00792EEC"/>
    <w:rsid w:val="007946C1"/>
    <w:rsid w:val="007A7956"/>
    <w:rsid w:val="007D3474"/>
    <w:rsid w:val="007D65F5"/>
    <w:rsid w:val="007D6B30"/>
    <w:rsid w:val="007E402D"/>
    <w:rsid w:val="007E7D1A"/>
    <w:rsid w:val="007F7EC4"/>
    <w:rsid w:val="0080284D"/>
    <w:rsid w:val="00804A48"/>
    <w:rsid w:val="00830395"/>
    <w:rsid w:val="00830400"/>
    <w:rsid w:val="00832578"/>
    <w:rsid w:val="00851930"/>
    <w:rsid w:val="00881F57"/>
    <w:rsid w:val="008C0DF3"/>
    <w:rsid w:val="008D2C0B"/>
    <w:rsid w:val="008E23A2"/>
    <w:rsid w:val="008F1F6E"/>
    <w:rsid w:val="008F2AB5"/>
    <w:rsid w:val="008F75E7"/>
    <w:rsid w:val="0090263B"/>
    <w:rsid w:val="00910CF4"/>
    <w:rsid w:val="00913740"/>
    <w:rsid w:val="0092286B"/>
    <w:rsid w:val="0092651C"/>
    <w:rsid w:val="009377F6"/>
    <w:rsid w:val="00942CA3"/>
    <w:rsid w:val="0096165A"/>
    <w:rsid w:val="0097178E"/>
    <w:rsid w:val="0098068F"/>
    <w:rsid w:val="009952E4"/>
    <w:rsid w:val="009A00D6"/>
    <w:rsid w:val="009A2BC0"/>
    <w:rsid w:val="009B2243"/>
    <w:rsid w:val="009B246D"/>
    <w:rsid w:val="009B36FE"/>
    <w:rsid w:val="009C2151"/>
    <w:rsid w:val="009C4605"/>
    <w:rsid w:val="009E18C8"/>
    <w:rsid w:val="009F3485"/>
    <w:rsid w:val="009F393D"/>
    <w:rsid w:val="009F4025"/>
    <w:rsid w:val="00A1293C"/>
    <w:rsid w:val="00A14369"/>
    <w:rsid w:val="00A24232"/>
    <w:rsid w:val="00A275A5"/>
    <w:rsid w:val="00A31EB5"/>
    <w:rsid w:val="00A35496"/>
    <w:rsid w:val="00A35DBD"/>
    <w:rsid w:val="00A463DE"/>
    <w:rsid w:val="00A6224D"/>
    <w:rsid w:val="00A629DD"/>
    <w:rsid w:val="00A6394B"/>
    <w:rsid w:val="00A67CDA"/>
    <w:rsid w:val="00A7144A"/>
    <w:rsid w:val="00A74090"/>
    <w:rsid w:val="00A74610"/>
    <w:rsid w:val="00A9122F"/>
    <w:rsid w:val="00A9434C"/>
    <w:rsid w:val="00AA3C39"/>
    <w:rsid w:val="00AA7EA1"/>
    <w:rsid w:val="00AB34FE"/>
    <w:rsid w:val="00AC070B"/>
    <w:rsid w:val="00AC59F8"/>
    <w:rsid w:val="00AC606D"/>
    <w:rsid w:val="00AF6624"/>
    <w:rsid w:val="00B0435A"/>
    <w:rsid w:val="00B05B9B"/>
    <w:rsid w:val="00B06703"/>
    <w:rsid w:val="00B16D3B"/>
    <w:rsid w:val="00B45DE3"/>
    <w:rsid w:val="00B51FD7"/>
    <w:rsid w:val="00B521EF"/>
    <w:rsid w:val="00B711FE"/>
    <w:rsid w:val="00B72F8B"/>
    <w:rsid w:val="00B74D52"/>
    <w:rsid w:val="00B85333"/>
    <w:rsid w:val="00B860B0"/>
    <w:rsid w:val="00B912EB"/>
    <w:rsid w:val="00B97567"/>
    <w:rsid w:val="00BA6417"/>
    <w:rsid w:val="00BD06E3"/>
    <w:rsid w:val="00BD3E1D"/>
    <w:rsid w:val="00BE25B8"/>
    <w:rsid w:val="00BE2B2D"/>
    <w:rsid w:val="00BE6A44"/>
    <w:rsid w:val="00C03EA4"/>
    <w:rsid w:val="00C04F85"/>
    <w:rsid w:val="00C0613D"/>
    <w:rsid w:val="00C160EC"/>
    <w:rsid w:val="00C229AD"/>
    <w:rsid w:val="00C254A9"/>
    <w:rsid w:val="00C26179"/>
    <w:rsid w:val="00C320B2"/>
    <w:rsid w:val="00C5361D"/>
    <w:rsid w:val="00C61A63"/>
    <w:rsid w:val="00C64C99"/>
    <w:rsid w:val="00C65EB1"/>
    <w:rsid w:val="00C70A05"/>
    <w:rsid w:val="00C70DAE"/>
    <w:rsid w:val="00C7447C"/>
    <w:rsid w:val="00C75C73"/>
    <w:rsid w:val="00C765E3"/>
    <w:rsid w:val="00C85B2B"/>
    <w:rsid w:val="00C9618B"/>
    <w:rsid w:val="00CB2A2E"/>
    <w:rsid w:val="00CB3EA0"/>
    <w:rsid w:val="00CC0F9D"/>
    <w:rsid w:val="00CC6575"/>
    <w:rsid w:val="00CC6810"/>
    <w:rsid w:val="00CC720D"/>
    <w:rsid w:val="00CD182C"/>
    <w:rsid w:val="00D02E63"/>
    <w:rsid w:val="00D0411D"/>
    <w:rsid w:val="00D06D07"/>
    <w:rsid w:val="00D22670"/>
    <w:rsid w:val="00D24F61"/>
    <w:rsid w:val="00D2572F"/>
    <w:rsid w:val="00D3361B"/>
    <w:rsid w:val="00D35D11"/>
    <w:rsid w:val="00D36117"/>
    <w:rsid w:val="00D4151C"/>
    <w:rsid w:val="00D42102"/>
    <w:rsid w:val="00D4429E"/>
    <w:rsid w:val="00D44329"/>
    <w:rsid w:val="00D55C08"/>
    <w:rsid w:val="00D64B9D"/>
    <w:rsid w:val="00D66879"/>
    <w:rsid w:val="00D85C94"/>
    <w:rsid w:val="00DA587E"/>
    <w:rsid w:val="00DA6A78"/>
    <w:rsid w:val="00DA7D51"/>
    <w:rsid w:val="00DB0DB4"/>
    <w:rsid w:val="00DB2B1B"/>
    <w:rsid w:val="00DB5077"/>
    <w:rsid w:val="00DC168D"/>
    <w:rsid w:val="00DD1F7C"/>
    <w:rsid w:val="00DD2317"/>
    <w:rsid w:val="00DD41C1"/>
    <w:rsid w:val="00DD5388"/>
    <w:rsid w:val="00DD6937"/>
    <w:rsid w:val="00DF1377"/>
    <w:rsid w:val="00DF1AD7"/>
    <w:rsid w:val="00E03F74"/>
    <w:rsid w:val="00E13842"/>
    <w:rsid w:val="00E248C9"/>
    <w:rsid w:val="00E32580"/>
    <w:rsid w:val="00E73952"/>
    <w:rsid w:val="00E84F5B"/>
    <w:rsid w:val="00E86468"/>
    <w:rsid w:val="00E873A6"/>
    <w:rsid w:val="00E91564"/>
    <w:rsid w:val="00E94AB2"/>
    <w:rsid w:val="00E9705C"/>
    <w:rsid w:val="00EA04F4"/>
    <w:rsid w:val="00EA1C42"/>
    <w:rsid w:val="00EA257A"/>
    <w:rsid w:val="00EB4A7A"/>
    <w:rsid w:val="00EB6734"/>
    <w:rsid w:val="00EB6A66"/>
    <w:rsid w:val="00EC000D"/>
    <w:rsid w:val="00EC04E4"/>
    <w:rsid w:val="00ED14FA"/>
    <w:rsid w:val="00EE1BAC"/>
    <w:rsid w:val="00EE6B9C"/>
    <w:rsid w:val="00EF2DD3"/>
    <w:rsid w:val="00EF39EA"/>
    <w:rsid w:val="00F00181"/>
    <w:rsid w:val="00F00E2F"/>
    <w:rsid w:val="00F0611A"/>
    <w:rsid w:val="00F14772"/>
    <w:rsid w:val="00F36C80"/>
    <w:rsid w:val="00F40EF3"/>
    <w:rsid w:val="00F419D5"/>
    <w:rsid w:val="00F42CDB"/>
    <w:rsid w:val="00F45835"/>
    <w:rsid w:val="00F55BCA"/>
    <w:rsid w:val="00F57FC1"/>
    <w:rsid w:val="00F633A8"/>
    <w:rsid w:val="00F64B09"/>
    <w:rsid w:val="00F94F69"/>
    <w:rsid w:val="00FC3B1A"/>
    <w:rsid w:val="00FE30AC"/>
    <w:rsid w:val="00FE6126"/>
    <w:rsid w:val="00FF37BD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AD2C2-0CD9-4364-9673-5400A077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8F2A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2AB5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8F2AB5"/>
  </w:style>
  <w:style w:type="character" w:customStyle="1" w:styleId="apple-converted-space">
    <w:name w:val="apple-converted-space"/>
    <w:basedOn w:val="a0"/>
    <w:rsid w:val="008F2AB5"/>
  </w:style>
  <w:style w:type="character" w:customStyle="1" w:styleId="hps">
    <w:name w:val="hps"/>
    <w:basedOn w:val="a0"/>
    <w:rsid w:val="00BE6A44"/>
  </w:style>
  <w:style w:type="character" w:customStyle="1" w:styleId="shorttext">
    <w:name w:val="short_text"/>
    <w:basedOn w:val="a0"/>
    <w:rsid w:val="00BE6A44"/>
  </w:style>
  <w:style w:type="paragraph" w:styleId="a4">
    <w:name w:val="header"/>
    <w:basedOn w:val="a"/>
    <w:rsid w:val="009377F6"/>
    <w:pPr>
      <w:tabs>
        <w:tab w:val="center" w:pos="4677"/>
        <w:tab w:val="right" w:pos="9355"/>
      </w:tabs>
    </w:pPr>
    <w:rPr>
      <w:sz w:val="20"/>
      <w:szCs w:val="20"/>
      <w:lang w:val="en-US"/>
    </w:rPr>
  </w:style>
  <w:style w:type="paragraph" w:styleId="a5">
    <w:name w:val="footer"/>
    <w:basedOn w:val="a"/>
    <w:rsid w:val="009377F6"/>
    <w:pPr>
      <w:tabs>
        <w:tab w:val="center" w:pos="4677"/>
        <w:tab w:val="right" w:pos="9355"/>
      </w:tabs>
    </w:pPr>
    <w:rPr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1715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rsid w:val="001E3F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E3F76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footnote text"/>
    <w:basedOn w:val="a"/>
    <w:link w:val="aa"/>
    <w:rsid w:val="00AC59F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9F8"/>
    <w:rPr>
      <w:lang w:val="ru-RU" w:eastAsia="ru-RU"/>
    </w:rPr>
  </w:style>
  <w:style w:type="character" w:styleId="ab">
    <w:name w:val="footnote reference"/>
    <w:basedOn w:val="a0"/>
    <w:rsid w:val="00AC59F8"/>
    <w:rPr>
      <w:vertAlign w:val="superscript"/>
    </w:rPr>
  </w:style>
  <w:style w:type="character" w:customStyle="1" w:styleId="tlid-translation">
    <w:name w:val="tlid-translation"/>
    <w:basedOn w:val="a0"/>
    <w:rsid w:val="00D25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379217132742118E-2"/>
          <c:y val="5.5026611256926226E-2"/>
          <c:w val="0.88185134586883263"/>
          <c:h val="0.634017530819673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data!$A$3</c:f>
              <c:strCache>
                <c:ptCount val="1"/>
                <c:pt idx="0">
                  <c:v>Registered unemployment rate</c:v>
                </c:pt>
              </c:strCache>
            </c:strRef>
          </c:tx>
          <c:spPr>
            <a:pattFill prst="wdUpDiag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data!$B$1:$F$2</c:f>
              <c:strCache>
                <c:ptCount val="5"/>
                <c:pt idx="0">
                  <c:v>Total</c:v>
                </c:pt>
                <c:pt idx="1">
                  <c:v>Women</c:v>
                </c:pt>
                <c:pt idx="2">
                  <c:v>Men</c:v>
                </c:pt>
                <c:pt idx="3">
                  <c:v>Urban area</c:v>
                </c:pt>
                <c:pt idx="4">
                  <c:v>Rural area</c:v>
                </c:pt>
              </c:strCache>
            </c:strRef>
          </c:cat>
          <c:val>
            <c:numRef>
              <c:f>data!$B$3:$F$3</c:f>
              <c:numCache>
                <c:formatCode>0.0</c:formatCode>
                <c:ptCount val="5"/>
                <c:pt idx="0">
                  <c:v>1.9</c:v>
                </c:pt>
                <c:pt idx="1">
                  <c:v>2.2000000000000002</c:v>
                </c:pt>
                <c:pt idx="2">
                  <c:v>1.6</c:v>
                </c:pt>
                <c:pt idx="3">
                  <c:v>1.5</c:v>
                </c:pt>
                <c:pt idx="4">
                  <c:v>2.6</c:v>
                </c:pt>
              </c:numCache>
            </c:numRef>
          </c:val>
        </c:ser>
        <c:ser>
          <c:idx val="1"/>
          <c:order val="1"/>
          <c:tx>
            <c:strRef>
              <c:f>data!$A$4</c:f>
              <c:strCache>
                <c:ptCount val="1"/>
                <c:pt idx="0">
                  <c:v>Unemployment rate (by ILO methodology)</c:v>
                </c:pt>
              </c:strCache>
            </c:strRef>
          </c:tx>
          <c:spPr>
            <a:noFill/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10,4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data!$B$1:$F$2</c:f>
              <c:strCache>
                <c:ptCount val="5"/>
                <c:pt idx="0">
                  <c:v>Total</c:v>
                </c:pt>
                <c:pt idx="1">
                  <c:v>Women</c:v>
                </c:pt>
                <c:pt idx="2">
                  <c:v>Men</c:v>
                </c:pt>
                <c:pt idx="3">
                  <c:v>Urban area</c:v>
                </c:pt>
                <c:pt idx="4">
                  <c:v>Rural area</c:v>
                </c:pt>
              </c:strCache>
            </c:strRef>
          </c:cat>
          <c:val>
            <c:numRef>
              <c:f>data!$B$4:$F$4</c:f>
              <c:numCache>
                <c:formatCode>0.0</c:formatCode>
                <c:ptCount val="5"/>
                <c:pt idx="0" formatCode="General">
                  <c:v>9.1</c:v>
                </c:pt>
                <c:pt idx="1">
                  <c:v>7.7</c:v>
                </c:pt>
                <c:pt idx="2">
                  <c:v>10.4</c:v>
                </c:pt>
                <c:pt idx="3">
                  <c:v>8.9</c:v>
                </c:pt>
                <c:pt idx="4">
                  <c:v>9.6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4773792"/>
        <c:axId val="254771552"/>
      </c:barChart>
      <c:catAx>
        <c:axId val="254773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5477155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54771552"/>
        <c:scaling>
          <c:orientation val="minMax"/>
          <c:max val="12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54773792"/>
        <c:crosses val="autoZero"/>
        <c:crossBetween val="between"/>
        <c:majorUnit val="2"/>
      </c:valAx>
      <c:spPr>
        <a:noFill/>
        <a:ln w="12700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1715953096988076"/>
          <c:y val="0.86223972003499572"/>
          <c:w val="0.75239635457612164"/>
          <c:h val="0.10712075624693251"/>
        </c:manualLayout>
      </c:layout>
      <c:overlay val="0"/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2595419847328249E-2"/>
          <c:y val="6.2857142857142861E-2"/>
          <c:w val="0.92341292565702016"/>
          <c:h val="0.542857142857142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Данні!$A$12</c:f>
              <c:strCache>
                <c:ptCount val="1"/>
                <c:pt idx="0">
                  <c:v>Unemployment rate taking into account potential labour force</c:v>
                </c:pt>
              </c:strCache>
            </c:strRef>
          </c:tx>
          <c:spPr>
            <a:pattFill prst="wdUpDiag">
              <a:fgClr>
                <a:srgbClr val="4472C4"/>
              </a:fgClr>
              <a:bgClr>
                <a:sysClr val="window" lastClr="FFFFFF"/>
              </a:bgClr>
            </a:pattFill>
            <a:ln w="1265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10,8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10,5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Данні!$B$11:$F$11</c:f>
              <c:strCache>
                <c:ptCount val="5"/>
                <c:pt idx="0">
                  <c:v>Total</c:v>
                </c:pt>
                <c:pt idx="1">
                  <c:v>Women</c:v>
                </c:pt>
                <c:pt idx="2">
                  <c:v>Men</c:v>
                </c:pt>
                <c:pt idx="3">
                  <c:v>Urban area</c:v>
                </c:pt>
                <c:pt idx="4">
                  <c:v>Rural area</c:v>
                </c:pt>
              </c:strCache>
            </c:strRef>
          </c:cat>
          <c:val>
            <c:numRef>
              <c:f>Данні!$B$12:$F$12</c:f>
              <c:numCache>
                <c:formatCode>0.0</c:formatCode>
                <c:ptCount val="5"/>
                <c:pt idx="0">
                  <c:v>9.5</c:v>
                </c:pt>
                <c:pt idx="1">
                  <c:v>8.1</c:v>
                </c:pt>
                <c:pt idx="2">
                  <c:v>10.8</c:v>
                </c:pt>
                <c:pt idx="3">
                  <c:v>9.1</c:v>
                </c:pt>
                <c:pt idx="4">
                  <c:v>10.5</c:v>
                </c:pt>
              </c:numCache>
            </c:numRef>
          </c:val>
        </c:ser>
        <c:ser>
          <c:idx val="1"/>
          <c:order val="1"/>
          <c:tx>
            <c:strRef>
              <c:f>Данні!$A$13</c:f>
              <c:strCache>
                <c:ptCount val="1"/>
                <c:pt idx="0">
                  <c:v>Unemployment rate of the population (by ILO methodology)</c:v>
                </c:pt>
              </c:strCache>
            </c:strRef>
          </c:tx>
          <c:spPr>
            <a:solidFill>
              <a:srgbClr val="FFC000">
                <a:lumMod val="60000"/>
                <a:lumOff val="40000"/>
              </a:srgbClr>
            </a:solidFill>
            <a:ln w="1265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ysClr val="window" lastClr="FFFFFF"/>
              </a:solidFill>
              <a:ln w="1265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ysClr val="window" lastClr="FFFFFF"/>
              </a:solidFill>
              <a:ln w="1265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ysClr val="window" lastClr="FFFFFF"/>
              </a:solidFill>
              <a:ln w="1265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ysClr val="window" lastClr="FFFFFF"/>
              </a:solidFill>
              <a:ln w="1265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ysClr val="window" lastClr="FFFFFF"/>
              </a:solidFill>
              <a:ln w="1265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9,2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Данні!$B$11:$F$11</c:f>
              <c:strCache>
                <c:ptCount val="5"/>
                <c:pt idx="0">
                  <c:v>Total</c:v>
                </c:pt>
                <c:pt idx="1">
                  <c:v>Women</c:v>
                </c:pt>
                <c:pt idx="2">
                  <c:v>Men</c:v>
                </c:pt>
                <c:pt idx="3">
                  <c:v>Urban area</c:v>
                </c:pt>
                <c:pt idx="4">
                  <c:v>Rural area</c:v>
                </c:pt>
              </c:strCache>
            </c:strRef>
          </c:cat>
          <c:val>
            <c:numRef>
              <c:f>Данні!$B$13:$F$13</c:f>
              <c:numCache>
                <c:formatCode>0.0</c:formatCode>
                <c:ptCount val="5"/>
                <c:pt idx="0">
                  <c:v>8.8000000000000007</c:v>
                </c:pt>
                <c:pt idx="1">
                  <c:v>7.4</c:v>
                </c:pt>
                <c:pt idx="2">
                  <c:v>10</c:v>
                </c:pt>
                <c:pt idx="3">
                  <c:v>8.6</c:v>
                </c:pt>
                <c:pt idx="4" formatCode="General">
                  <c:v>9.1999999999999993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550048"/>
        <c:axId val="340543888"/>
      </c:barChart>
      <c:catAx>
        <c:axId val="340550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0543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0543888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0550048"/>
        <c:crosses val="autoZero"/>
        <c:crossBetween val="between"/>
        <c:majorUnit val="3"/>
      </c:valAx>
      <c:spPr>
        <a:noFill/>
        <a:ln w="25337">
          <a:noFill/>
        </a:ln>
      </c:spPr>
    </c:plotArea>
    <c:legend>
      <c:legendPos val="b"/>
      <c:layout>
        <c:manualLayout>
          <c:xMode val="edge"/>
          <c:yMode val="edge"/>
          <c:x val="7.7862494910908422E-2"/>
          <c:y val="0.79428561814388587"/>
          <c:w val="0.88168152248295695"/>
          <c:h val="0.16263745877919111"/>
        </c:manualLayout>
      </c:layout>
      <c:overlay val="0"/>
      <c:spPr>
        <a:solidFill>
          <a:srgbClr val="FFFFFF"/>
        </a:solidFill>
        <a:ln w="3162">
          <a:solidFill>
            <a:srgbClr val="000000"/>
          </a:solidFill>
          <a:prstDash val="solid"/>
        </a:ln>
      </c:spPr>
      <c:txPr>
        <a:bodyPr/>
        <a:lstStyle/>
        <a:p>
          <a:pPr>
            <a:defRPr sz="797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44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0.07885</cdr:x>
      <cdr:y>0</cdr:y>
    </cdr:from>
    <cdr:to>
      <cdr:x>0.12285</cdr:x>
      <cdr:y>0.09475</cdr:y>
    </cdr:to>
    <cdr:sp macro="" textlink="">
      <cdr:nvSpPr>
        <cdr:cNvPr id="89089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68374" y="0"/>
          <a:ext cx="261379" cy="224059"/>
        </a:xfrm>
        <a:prstGeom xmlns:a="http://schemas.openxmlformats.org/drawingml/2006/main" prst="rect">
          <a:avLst/>
        </a:prstGeom>
        <a:solidFill xmlns:a="http://schemas.openxmlformats.org/drawingml/2006/main">
          <a:srgbClr xmlns:mc="http://schemas.openxmlformats.org/markup-compatibility/2006" xmlns:a14="http://schemas.microsoft.com/office/drawing/2010/main" val="FFFFFF" mc:Ignorable="a14" a14:legacySpreadsheetColorIndex="65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85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8257-E074-4414-8106-A926081C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3</Pages>
  <Words>5773</Words>
  <Characters>3291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ANALITICAL OVERVIEW OF THE STATE OF LABOR MARKET IN 2012</vt:lpstr>
    </vt:vector>
  </TitlesOfParts>
  <Company>Организация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ANALITICAL OVERVIEW OF THE STATE OF LABOR MARKET IN 2012</dc:title>
  <dc:subject/>
  <dc:creator>Vitaly</dc:creator>
  <cp:keywords/>
  <dc:description/>
  <cp:lastModifiedBy>N.Kobryanska</cp:lastModifiedBy>
  <cp:revision>34</cp:revision>
  <cp:lastPrinted>2019-08-06T06:47:00Z</cp:lastPrinted>
  <dcterms:created xsi:type="dcterms:W3CDTF">2018-07-12T11:48:00Z</dcterms:created>
  <dcterms:modified xsi:type="dcterms:W3CDTF">2019-08-29T15:14:00Z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